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18.png" ContentType="image/png"/>
  <Override PartName="/word/media/rId41.png" ContentType="image/png"/>
  <Override PartName="/word/media/rId30.png" ContentType="image/png"/>
  <Override PartName="/word/media/rId38.png" ContentType="image/png"/>
  <Override PartName="/word/media/rId82.png" ContentType="image/png"/>
  <Override PartName="/word/media/rId149.png" ContentType="image/png"/>
  <Override PartName="/word/media/rId71.png" ContentType="image/png"/>
  <Override PartName="/word/media/rId66.png" ContentType="image/png"/>
  <Override PartName="/word/media/rId68.png" ContentType="image/png"/>
  <Override PartName="/word/media/rId144.png" ContentType="image/png"/>
  <Override PartName="/word/media/rId143.png" ContentType="image/png"/>
  <Override PartName="/word/media/rId64.png" ContentType="image/png"/>
  <Override PartName="/word/media/rId69.png" ContentType="image/png"/>
  <Override PartName="/word/media/rId90.png" ContentType="image/png"/>
  <Override PartName="/word/media/rId94.png" ContentType="image/png"/>
  <Override PartName="/word/media/rId99.png" ContentType="image/png"/>
  <Override PartName="/word/media/rId88.png" ContentType="image/png"/>
  <Override PartName="/word/media/rId93.png" ContentType="image/png"/>
  <Override PartName="/word/media/rId72.png" ContentType="image/png"/>
  <Override PartName="/word/media/rId92.png" ContentType="image/png"/>
  <Override PartName="/word/media/rId58.png" ContentType="image/png"/>
  <Override PartName="/word/media/rId59.png" ContentType="image/png"/>
  <Override PartName="/word/media/rId101.png" ContentType="image/png"/>
  <Override PartName="/word/media/rId102.png" ContentType="image/png"/>
  <Override PartName="/word/media/rId103.png" ContentType="image/png"/>
  <Override PartName="/word/media/rId140.png" ContentType="image/png"/>
  <Override PartName="/word/media/rId139.png" ContentType="image/png"/>
  <Override PartName="/word/media/rId137.png" ContentType="image/png"/>
  <Override PartName="/word/media/rId136.png" ContentType="image/png"/>
  <Override PartName="/word/media/rId61.png" ContentType="image/png"/>
  <Override PartName="/word/media/rId54.png" ContentType="image/png"/>
  <Override PartName="/word/media/rId131.png" ContentType="image/png"/>
  <Override PartName="/word/media/rId133.png" ContentType="image/png"/>
  <Override PartName="/word/media/rId134.png" ContentType="image/png"/>
  <Override PartName="/word/media/rId97.png" ContentType="image/png"/>
  <Override PartName="/word/media/rId128.png" ContentType="image/png"/>
  <Override PartName="/word/media/rId127.png" ContentType="image/png"/>
  <Override PartName="/word/media/rId105.png" ContentType="image/png"/>
  <Override PartName="/word/media/rId125.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t>
      </w: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r>
        <w:t xml:space="preserve">’</w:t>
      </w:r>
      <w:r>
        <w:t xml:space="preserve"> </w:t>
      </w:r>
      <w:r>
        <w:t xml:space="preserve">OR</w:t>
      </w:r>
      <w:r>
        <w:t xml:space="preserve"> </w:t>
      </w:r>
      <w:r>
        <w:t xml:space="preserve">‘</w:t>
      </w: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r>
        <w:t xml:space="preserve">’</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Heading4"/>
      </w:pPr>
      <w:bookmarkStart w:id="28" w:name="watershed-processes-and-water-quality"/>
      <w:r>
        <w:t xml:space="preserve">Watershed processes and water quality</w:t>
      </w:r>
      <w:bookmarkEnd w:id="28"/>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Natural organic matter (NOM) encompasses a suite of biogeochemical compounds that link terrestrial and aquatic environments, with runoff introducing terrestrial compounds into fluvial systems and transporting both allochthonous and autochthonous compounds.</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headwaters (entry point for majority of solutes) to river mouth (i.e. reduced NOM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b/>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4"/>
      </w:pPr>
      <w:bookmarkStart w:id="29" w:name="X2458352b66b8ecb7c67f987a899314109b31192"/>
      <w:r>
        <w:t xml:space="preserve">Source water considerations for Greater Victoria’s water supply areas</w:t>
      </w:r>
      <w:bookmarkEnd w:id="29"/>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Sooke Reservoir is the primary drinking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p>
    <w:p>
      <w:pPr>
        <w:pStyle w:val="BodyText"/>
      </w:pPr>
      <w:r>
        <w:t xml:space="preserve"> </w:t>
      </w:r>
    </w:p>
    <w:p>
      <w:pPr>
        <w:pStyle w:val="BodyText"/>
      </w:pPr>
      <w:r>
        <w:t xml:space="preserve">In anticipation of future water demands and uncertainty related to rainfall and climate change, the Capital Regional District (CRD) purchased an additional 96.28 km</w:t>
      </w:r>
      <w:r>
        <w:rPr>
          <w:vertAlign w:val="superscript"/>
        </w:rPr>
        <w:t xml:space="preserve">2</w:t>
      </w:r>
      <w:r>
        <w:t xml:space="preserve"> </w:t>
      </w:r>
      <w:r>
        <w:t xml:space="preserve">(9,628 hectares) of land in 2007 and 2010. This area includes about 92% of the Leech River watershed (~96 km</w:t>
      </w:r>
      <w:r>
        <w:rPr>
          <w:vertAlign w:val="superscript"/>
        </w:rPr>
        <w:t xml:space="preserve">2</w:t>
      </w:r>
      <w:r>
        <w:t xml:space="preserve">) which was designated as the Leech Water Supply Area (LWSA) for future supplemental source water. In the future (possibly by 2050), inter-basin transfer will move water from the LWSA through a diversion tunnel to supplement Sooke Reservoir (Figure</w:t>
      </w:r>
      <w:r>
        <w:t xml:space="preserve"> </w:t>
      </w:r>
      <w:r>
        <w:t xml:space="preserve">1</w:t>
      </w:r>
      <w:r>
        <w:t xml:space="preserve">). Approximately 92% of the Leech River watershed above the point of diversion (Leech Tunnel) is protected as WSA .</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0"/>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BodyText"/>
      </w:pPr>
      <w:r>
        <w:t xml:space="preserve"> </w:t>
      </w:r>
    </w:p>
    <w:p>
      <w:pPr>
        <w:pStyle w:val="BodyText"/>
      </w:pPr>
      <w:r>
        <w:t xml:space="preserve">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pPr>
        <w:pStyle w:val="Heading3"/>
      </w:pPr>
      <w:bookmarkStart w:id="31" w:name="research-questions-and-objectives"/>
      <w:r>
        <w:t xml:space="preserve">Research questions and objectives</w:t>
      </w:r>
      <w:bookmarkEnd w:id="31"/>
    </w:p>
    <w:p>
      <w:pPr>
        <w:pStyle w:val="FirstParagraph"/>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pPr>
        <w:pStyle w:val="BodyText"/>
      </w:pPr>
      <w:r>
        <w:t xml:space="preserve"> </w:t>
      </w:r>
    </w:p>
    <w:p>
      <w:pPr>
        <w:pStyle w:val="BodyText"/>
      </w:pPr>
      <w:r>
        <w:rPr>
          <w:b/>
        </w:rPr>
        <w:t xml:space="preserve">RQ.1.</w:t>
      </w:r>
      <w:r>
        <w:t xml:space="preserve"> </w:t>
      </w:r>
      <w:r>
        <w:t xml:space="preserve">What are the ranges for DOC concentration and NOM character between adjacent drainage basins and among nested sub-catchments in the Greater Victoria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pPr>
        <w:pStyle w:val="Heading2"/>
      </w:pPr>
      <w:bookmarkStart w:id="32" w:name="spatial-and-temporal-patterns-in-doc-nom"/>
      <w:r>
        <w:t xml:space="preserve">Spatial and temporal patterns in DOC &amp; NOM</w:t>
      </w:r>
      <w:bookmarkEnd w:id="32"/>
    </w:p>
    <w:p>
      <w:pPr>
        <w:pStyle w:val="Heading3"/>
      </w:pPr>
      <w:bookmarkStart w:id="33" w:name="introduction"/>
      <w:r>
        <w:t xml:space="preserve">Introduction</w:t>
      </w:r>
      <w:bookmarkEnd w:id="33"/>
    </w:p>
    <w:p>
      <w:pPr>
        <w:pStyle w:val="FirstParagraph"/>
      </w:pPr>
      <w:r>
        <w:t xml:space="preserve">Drinking water in Canada is primarily sourced from surface water supplies.</w:t>
      </w:r>
      <w:r>
        <w:t xml:space="preserve"> </w:t>
      </w:r>
      <w:r>
        <w:t xml:space="preserve">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Climate, weather, and physical characteristics of a watershed lead to variations in surface water quality, and runoff links surface water sources to the landscape by introducing terrestrial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Heading4"/>
      </w:pPr>
      <w:bookmarkStart w:id="34" w:name="X7414d6706d8402b87a2f3462fc755a05cce3a3a"/>
      <w:r>
        <w:t xml:space="preserve">Aqueous natural organic matter in source water supply</w:t>
      </w:r>
      <w:bookmarkEnd w:id="34"/>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 </w:t>
      </w:r>
    </w:p>
    <w:p>
      <w:pPr>
        <w:pStyle w:val="Heading4"/>
      </w:pPr>
      <w:bookmarkStart w:id="35" w:name="surface-water-sampling-strategies"/>
      <w:r>
        <w:t xml:space="preserve">Surface water sampling strategies</w:t>
      </w:r>
      <w:bookmarkEnd w:id="35"/>
    </w:p>
    <w:p>
      <w:pPr>
        <w:pStyle w:val="FirstParagraph"/>
      </w:pPr>
      <w:r>
        <w:t xml:space="preserve"> </w:t>
      </w:r>
    </w:p>
    <w:p>
      <w:pPr>
        <w:pStyle w:val="BodyText"/>
      </w:pPr>
      <w:r>
        <w:t xml:space="preserve">A discrete water sample cannot tell a complete story of a hydrologic system’s water quality dynamics but it can provide information about specific attributes of the water in a given place at a certain time, if it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account for physical realities (e.g. spatiotemporal heterogeneity, access),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Flow changes in response to precipitation or melt events are of interest for NOM studies as the rising limb of the hydrograph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While high flows present an opportunity to capture the dynamic water quality changes that occur during events,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So,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In this project, a sampling strategy was developed to quantify the ranges of DOC concentration and NOM character between adjacent drainage basins and among nested sub-catchments in the Greater Victoria water supply area.</w:t>
      </w:r>
    </w:p>
    <w:p>
      <w:pPr>
        <w:pStyle w:val="BodyText"/>
      </w:pPr>
      <w:r>
        <w:t xml:space="preserve"> </w:t>
      </w:r>
    </w:p>
    <w:p>
      <w:pPr>
        <w:pStyle w:val="Heading3"/>
      </w:pPr>
      <w:bookmarkStart w:id="36" w:name="methods"/>
      <w:r>
        <w:t xml:space="preserve">Methods</w:t>
      </w:r>
      <w:bookmarkEnd w:id="36"/>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Heading4"/>
      </w:pPr>
      <w:bookmarkStart w:id="37" w:name="sampling-sites"/>
      <w:r>
        <w:t xml:space="preserve">Sampling sites</w:t>
      </w:r>
      <w:bookmarkEnd w:id="37"/>
    </w:p>
    <w:p>
      <w:pPr>
        <w:pStyle w:val="FirstParagraph"/>
      </w:pPr>
      <w:r>
        <w:t xml:space="preserve">Most of sampling sites were in the Leech WSA and a few key rivers in the Sooke WSA were also included (Figure</w:t>
      </w:r>
      <w:r>
        <w:t xml:space="preserve"> </w:t>
      </w:r>
      <w:r>
        <w:t xml:space="preserve">2</w:t>
      </w:r>
      <w:r>
        <w:t xml:space="preserve">). Rithet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pPr>
        <w:pStyle w:val="BodyText"/>
      </w:pPr>
      <w:r>
        <w:t xml:space="preserve">In the LWSA, Weeks and Chris Creek are headwater streams of the Leech River and Lazar and Jarvis Creeks are headwaters of Cragg Creek, a major tributary to the Leech. West Leech River is the other major tributary to the Leech River, and Leech-Beach site was located just downstream from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2: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8"/>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5"/>
      </w:pPr>
      <w:bookmarkStart w:id="39" w:name="synoptic-sampling"/>
      <w:r>
        <w:t xml:space="preserve">Synoptic sampling</w:t>
      </w:r>
      <w:bookmarkEnd w:id="39"/>
    </w:p>
    <w:p>
      <w:pPr>
        <w:pStyle w:val="FirstParagraph"/>
      </w:pPr>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unfiltered.</w:t>
      </w:r>
    </w:p>
    <w:p>
      <w:pPr>
        <w:pStyle w:val="BodyText"/>
      </w:pPr>
      <w:r>
        <w:t xml:space="preserve"> </w:t>
      </w:r>
    </w:p>
    <w:p>
      <w:pPr>
        <w:pStyle w:val="Heading5"/>
      </w:pPr>
      <w:bookmarkStart w:id="40" w:name="monitoring-sampling-stations"/>
      <w:r>
        <w:t xml:space="preserve">Monitoring &amp; sampling stations</w:t>
      </w:r>
      <w:bookmarkEnd w:id="40"/>
    </w:p>
    <w:p>
      <w:pPr>
        <w:pStyle w:val="FirstParagraph"/>
      </w:pPr>
      <w:r>
        <w:t xml:space="preserve">Six of the sampling sites in the LWSA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p>
    <w:p>
      <w:pPr>
        <w:pStyle w:val="BodyText"/>
      </w:pPr>
      <w:r>
        <w:t xml:space="preserve"> </w:t>
      </w:r>
    </w:p>
    <w:p>
      <w:pPr>
        <w:pStyle w:val="BodyText"/>
      </w:pPr>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 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1"/>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a siphon system made of two 1/4" (O.D.) stainless steel tubes, each with a 180</w:t>
      </w:r>
      <m:oMath>
        <m:sSup>
          <m:e>
            <m:r>
              <m:t>​</m:t>
            </m:r>
          </m:e>
          <m:sup>
            <m:r>
              <m:t>∘</m:t>
            </m:r>
          </m:sup>
        </m:sSup>
      </m:oMath>
      <w:r>
        <w:t xml:space="preserve"> </w:t>
      </w:r>
      <w:r>
        <w:t xml:space="preserve">bend at the top end; the longer tube formed an air vent, the shorter acted as a water inlet. The sample bottle filled when river water reached the top of the inlet tube bend (Figure</w:t>
      </w:r>
      <w:r>
        <w:t xml:space="preserve"> </w:t>
      </w:r>
      <w:r>
        <w:t xml:space="preserve">3</w:t>
      </w:r>
      <w:r>
        <w:t xml:space="preserve">). Marine epoxy was applied to the outside of siphon caps to ensure a water-tight seal around the inlet and exhaust tubes, and inert silicone sealant was added to the inside of lids to ensure watertightness and clean sample containment.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time a monitoring site was visited, empty acid-washed sample bottles with siphon lids were set out on vertical racks. Sampling bottles could be placed at any height and were generally staggered at 10-20 cm intervals. 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pPr>
        <w:pStyle w:val="BodyText"/>
      </w:pPr>
      <w:r>
        <w:t xml:space="preserve"> </w:t>
      </w:r>
    </w:p>
    <w:p>
      <w:pPr>
        <w:pStyle w:val="Heading6"/>
      </w:pPr>
      <w:bookmarkStart w:id="42" w:name="siphon-sampler-assumptions"/>
      <w:r>
        <w:t xml:space="preserve">Siphon sampler assumptions</w:t>
      </w:r>
      <w:bookmarkEnd w:id="42"/>
    </w:p>
    <w:p>
      <w:pPr>
        <w:pStyle w:val="FirstParagraph"/>
      </w:pPr>
      <w:r>
        <w:t xml:space="preserve">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 </w:t>
      </w:r>
    </w:p>
    <w:p>
      <w:pPr>
        <w:pStyle w:val="BodyText"/>
      </w:pPr>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pPr>
        <w:pStyle w:val="BodyText"/>
      </w:pPr>
      <w:r>
        <w:t xml:space="preserve"> </w:t>
      </w:r>
    </w:p>
    <w:p>
      <w:pPr>
        <w:pStyle w:val="Heading6"/>
      </w:pPr>
      <w:bookmarkStart w:id="43" w:name="sampling-rack-hold-time-experiments"/>
      <w:r>
        <w:t xml:space="preserve">Sampling rack hold-time experiments</w:t>
      </w:r>
      <w:bookmarkEnd w:id="43"/>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pPr>
        <w:pStyle w:val="BodyText"/>
      </w:pPr>
      <w:r>
        <w:t xml:space="preserve"> </w:t>
      </w:r>
    </w:p>
    <w:p>
      <w:pPr>
        <w:pStyle w:val="Heading4"/>
      </w:pPr>
      <w:bookmarkStart w:id="44" w:name="laboratory-analyses-of-water-samples"/>
      <w:r>
        <w:t xml:space="preserve">Laboratory analyses of water samples</w:t>
      </w:r>
      <w:bookmarkEnd w:id="44"/>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BodyText"/>
      </w:pPr>
      <w:r>
        <w:t xml:space="preserve"> </w:t>
      </w:r>
    </w:p>
    <w:p>
      <w:pPr>
        <w:pStyle w:val="Heading5"/>
      </w:pPr>
      <w:bookmarkStart w:id="45" w:name="quantifying-doc-dissolved-organic-carbon"/>
      <w:r>
        <w:t xml:space="preserve">Quantifying DOC (dissolved organic carbon)</w:t>
      </w:r>
      <w:bookmarkEnd w:id="45"/>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6"/>
      </w:pPr>
      <w:bookmarkStart w:id="46" w:name="sample-preparation"/>
      <w:r>
        <w:t xml:space="preserve">Sample preparation</w:t>
      </w:r>
      <w:bookmarkEnd w:id="46"/>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pPr>
        <w:pStyle w:val="BodyText"/>
      </w:pPr>
      <w:r>
        <w:t xml:space="preserve"> </w:t>
      </w:r>
    </w:p>
    <w:p>
      <w:pPr>
        <w:pStyle w:val="Heading6"/>
      </w:pPr>
      <w:bookmarkStart w:id="47" w:name="instrumental-analysis"/>
      <w:r>
        <w:t xml:space="preserve">Instrumental analysis</w:t>
      </w:r>
      <w:bookmarkEnd w:id="47"/>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 xml:space="preserve">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BodyText"/>
      </w:pPr>
      <w:r>
        <w:t xml:space="preserve"> </w:t>
      </w:r>
    </w:p>
    <w:p>
      <w:pPr>
        <w:pStyle w:val="Heading5"/>
      </w:pPr>
      <w:bookmarkStart w:id="48" w:name="X7e9e3c08bf23e8477697b7359078143289e45ae"/>
      <w:r>
        <w:t xml:space="preserve">Characterization of NOM (natural organic matter)</w:t>
      </w:r>
      <w:bookmarkEnd w:id="48"/>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pPr>
        <w:pStyle w:val="BodyText"/>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In a forested watershed,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6"/>
      </w:pPr>
      <w:bookmarkStart w:id="49" w:name="sample-analysis"/>
      <w:r>
        <w:t xml:space="preserve">Sample analysis</w:t>
      </w:r>
      <w:bookmarkEnd w:id="49"/>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 </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While unfiltered water samples were analyzed in the spectrolyser for NOM, samples that had detectable turbidity (greater than 0.0000 FTU) were removed from data analysis.</w:t>
      </w:r>
    </w:p>
    <w:p>
      <w:pPr>
        <w:pStyle w:val="BodyText"/>
      </w:pPr>
      <w:r>
        <w:t xml:space="preserve"> </w:t>
      </w:r>
    </w:p>
    <w:p>
      <w:pPr>
        <w:pStyle w:val="Heading6"/>
      </w:pPr>
      <w:bookmarkStart w:id="50" w:name="instrument-and-data-handling"/>
      <w:r>
        <w:t xml:space="preserve">Instrument and data handling</w:t>
      </w:r>
      <w:bookmarkEnd w:id="50"/>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 </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but the local representative (Aquatic Life, Ltd.) suggested a paper that reported the Global Calibration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BodyText"/>
      </w:pPr>
      <w:r>
        <w:t xml:space="preserve"> </w:t>
      </w:r>
    </w:p>
    <w:p>
      <w:pPr>
        <w:pStyle w:val="Heading6"/>
      </w:pPr>
      <w:bookmarkStart w:id="51" w:name="suva254-specific-ultraviolet-absorbance"/>
      <w:r>
        <w:t xml:space="preserve">SUVA</w:t>
      </w:r>
      <w:r>
        <w:rPr>
          <w:vertAlign w:val="subscript"/>
        </w:rPr>
        <w:t xml:space="preserve">254</w:t>
      </w:r>
      <w:r>
        <w:t xml:space="preserve"> </w:t>
      </w:r>
      <w:r>
        <w:t xml:space="preserve">(specific ultraviolet absorbance)</w:t>
      </w:r>
      <w:bookmarkEnd w:id="51"/>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Heading6"/>
      </w:pPr>
      <w:bookmarkStart w:id="52"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2"/>
    </w:p>
    <w:p>
      <w:pPr>
        <w:pStyle w:val="FirstParagraph"/>
      </w:pPr>
      <w:r>
        <w:t xml:space="preserve">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 </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p>
    <w:p>
      <w:pPr>
        <w:pStyle w:val="BodyText"/>
      </w:pPr>
      <w:r>
        <w:t xml:space="preserve"> </w:t>
      </w:r>
    </w:p>
    <w:p>
      <w:pPr>
        <w:pStyle w:val="BodyText"/>
      </w:pP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BodyText"/>
      </w:pPr>
      <w:r>
        <w:t xml:space="preserve"> </w:t>
      </w:r>
    </w:p>
    <w:p>
      <w:pPr>
        <w:pStyle w:val="Heading5"/>
      </w:pPr>
      <w:bookmarkStart w:id="53" w:name="weather-in-the-leech-watershed"/>
      <w:r>
        <w:t xml:space="preserve">Weather in the Leech watershed</w:t>
      </w:r>
      <w:bookmarkEnd w:id="53"/>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2</w:t>
      </w:r>
      <w:r>
        <w:t xml:space="preserve"> </w:t>
      </w:r>
      <w:r>
        <w:t xml:space="preserve">&amp; Figure 1, Chapter 1). Data from January 2018 to March 2020 were provided and were used in defining sampling seasons and in quality control assessments of vertical rack samples.</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(Figure</w:t>
      </w:r>
      <w:r>
        <w:t xml:space="preserve"> </w:t>
      </w:r>
      <w:r>
        <w:t xml:space="preserve">4</w:t>
      </w:r>
      <w:r>
        <w:t xml:space="preserve">, Table</w:t>
      </w:r>
      <w:r>
        <w:t xml:space="preserve"> </w:t>
      </w:r>
      <w:r>
        <w:t xml:space="preserve">3</w:t>
      </w:r>
      <w:r>
        <w:t xml:space="preserve">,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defining seasons.</w:t>
      </w:r>
    </w:p>
    <w:p>
      <w:pPr>
        <w:pStyle w:val="BodyText"/>
      </w:pPr>
      <w:r>
        <w:t xml:space="preserve"> </w:t>
      </w:r>
    </w:p>
    <w:p>
      <w:pPr>
        <w:pStyle w:val="TableCaption"/>
      </w:pPr>
      <w:r>
        <w:t xml:space="preserve">Table 3:</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3: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4587290" cy="3669832"/>
            <wp:effectExtent b="0" l="0" r="0" t="0"/>
            <wp:docPr descr="Figure 4: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two stations in the Leech water supply area, where the highlighted section indicates the study period.</w:t>
      </w:r>
    </w:p>
    <w:p>
      <w:pPr>
        <w:pStyle w:val="BodyText"/>
      </w:pPr>
      <w:r>
        <w:t xml:space="preserve"> </w:t>
      </w:r>
    </w:p>
    <w:p>
      <w:pPr>
        <w:pStyle w:val="Heading6"/>
      </w:pPr>
      <w:bookmarkStart w:id="55" w:name="defining-seasons"/>
      <w:r>
        <w:t xml:space="preserve">Defining seasons</w:t>
      </w:r>
      <w:bookmarkEnd w:id="55"/>
    </w:p>
    <w:p>
      <w:pPr>
        <w:pStyle w:val="FirstParagraph"/>
      </w:pPr>
      <w:r>
        <w:t xml:space="preserve">Coastal BC climate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 The R package</w:t>
      </w:r>
      <w:r>
        <w:t xml:space="preserve"> </w:t>
      </w:r>
      <w:r>
        <w:rPr>
          <w:i/>
        </w:rPr>
        <w:t xml:space="preserve">Rainmaker</w:t>
      </w:r>
      <w:r>
        <w:t xml:space="preserve"> </w:t>
      </w:r>
      <w:r>
        <w:t xml:space="preserve">(github.com/USGS-R/Rainmaker) was used with LWSA rain data (average of Chris Creek and Martin’s Gulch FWx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pPr>
        <w:pStyle w:val="BodyText"/>
      </w:pPr>
      <w:r>
        <w:t xml:space="preserve"> </w:t>
      </w:r>
    </w:p>
    <w:p>
      <w:pPr>
        <w:pStyle w:val="BodyText"/>
      </w:pPr>
      <w:r>
        <w:t xml:space="preserve"> </w:t>
      </w:r>
    </w:p>
    <w:p>
      <w:pPr>
        <w:pStyle w:val="Heading3"/>
      </w:pPr>
      <w:bookmarkStart w:id="56" w:name="results"/>
      <w:r>
        <w:t xml:space="preserve">Results</w:t>
      </w:r>
      <w:bookmarkEnd w:id="56"/>
    </w:p>
    <w:p>
      <w:pPr>
        <w:pStyle w:val="FirstParagraph"/>
      </w:pPr>
      <w:r>
        <w:t xml:space="preserve">Over the sixteen-month field study, 426 river samples were collected and analyzed for DOC, and 318 of those samples were analyzed for NOM by UV-Vis (Table</w:t>
      </w:r>
      <w:r>
        <w:t xml:space="preserve"> </w:t>
      </w:r>
      <w:r>
        <w:t xml:space="preserve">4</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pPr>
        <w:pStyle w:val="BodyText"/>
      </w:pPr>
      <w:r>
        <w:t xml:space="preserve"> </w:t>
      </w:r>
    </w:p>
    <w:p>
      <w:pPr>
        <w:pStyle w:val="TableCaption"/>
      </w:pPr>
      <w:r>
        <w:t xml:space="preserve">Table 4:</w:t>
      </w:r>
      <w:r>
        <w:t xml:space="preserve"> </w:t>
      </w:r>
      <w:r>
        <w:rPr>
          <w:i/>
        </w:rPr>
        <w:t xml:space="preserve">Summary of samples collected</w:t>
      </w:r>
    </w:p>
    <w:tbl>
      <w:tblPr>
        <w:tblStyle w:val="Table"/>
        <w:tblW w:type="pct" w:w="5000.0"/>
        <w:tblLook w:firstRow="1"/>
        <w:tblCaption w:val="Table 4: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7" w:name="vertical-rack-sampling-quality-control"/>
      <w:r>
        <w:t xml:space="preserve">Vertical Rack sampling quality control</w:t>
      </w:r>
      <w:bookmarkEnd w:id="57"/>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w:t>
      </w:r>
      <w:r>
        <w:t xml:space="preserve"> </w:t>
      </w:r>
      <w:r>
        <w:t xml:space="preserve">5</w:t>
      </w:r>
      <w:r>
        <w:t xml:space="preserve">).</w:t>
      </w:r>
    </w:p>
    <w:p>
      <w:pPr>
        <w:pStyle w:val="BodyText"/>
      </w:pPr>
      <w:r>
        <w:t xml:space="preserve"> </w:t>
      </w:r>
    </w:p>
    <w:p>
      <w:pPr>
        <w:pStyle w:val="CaptionedFigure"/>
      </w:pPr>
      <w:r>
        <w:drawing>
          <wp:inline>
            <wp:extent cx="5504749" cy="5046020"/>
            <wp:effectExtent b="0" l="0" r="0" t="0"/>
            <wp:docPr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58"/>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6</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5</w:t>
      </w:r>
      <w:r>
        <w:t xml:space="preserve">).</w:t>
      </w:r>
    </w:p>
    <w:p>
      <w:pPr>
        <w:pStyle w:val="BodyText"/>
      </w:pPr>
      <w:r>
        <w:t xml:space="preserve"> </w:t>
      </w:r>
    </w:p>
    <w:p>
      <w:pPr>
        <w:pStyle w:val="CaptionedFigure"/>
      </w:pPr>
      <w:r>
        <w:drawing>
          <wp:inline>
            <wp:extent cx="5504749" cy="6422207"/>
            <wp:effectExtent b="0" l="0" r="0" t="0"/>
            <wp:docPr descr="Figure 6: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59"/>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5:</w:t>
      </w:r>
      <w:r>
        <w:t xml:space="preserve"> </w:t>
      </w:r>
      <w:r>
        <w:rPr>
          <w:i/>
        </w:rPr>
        <w:t xml:space="preserve">Results comparing three vertical-rack hold-time sets</w:t>
      </w:r>
    </w:p>
    <w:tbl>
      <w:tblPr>
        <w:tblStyle w:val="Table"/>
        <w:tblW w:type="pct" w:w="4999.999999999999"/>
        <w:tblLook w:firstRow="1"/>
        <w:tblCaption w:val="Table 5: Results comparing three vertical-rack hold-tim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6</w:t>
      </w:r>
      <w:r>
        <w:t xml:space="preserve">, Table</w:t>
      </w:r>
      <w:r>
        <w:t xml:space="preserve"> </w:t>
      </w:r>
      <w:r>
        <w:t xml:space="preserve">5</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 </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 (Table</w:t>
      </w:r>
      <w:r>
        <w:t xml:space="preserve"> </w:t>
      </w:r>
      <w:r>
        <w:t xml:space="preserve">4</w:t>
      </w:r>
      <w:r>
        <w:t xml:space="preserve">).</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temperatures (daily means) at each monitoring site were measured and recorded with Hobo TidbiT loggers from 2019-08-24 to 2020-02-18 (field study end), and temperatures prior to TidbiT deployment were estimated by linear regression (Appendix ###).</w:t>
      </w:r>
    </w:p>
    <w:p>
      <w:pPr>
        <w:pStyle w:val="BodyText"/>
      </w:pPr>
      <w:r>
        <w:t xml:space="preserve"> </w:t>
      </w:r>
    </w:p>
    <w:p>
      <w:pPr>
        <w:pStyle w:val="Heading4"/>
      </w:pPr>
      <w:bookmarkStart w:id="60" w:name="seasonal-delineation"/>
      <w:r>
        <w:t xml:space="preserve">Seasonal delineation</w:t>
      </w:r>
      <w:bookmarkEnd w:id="60"/>
    </w:p>
    <w:p>
      <w:pPr>
        <w:pStyle w:val="FirstParagraph"/>
      </w:pPr>
      <w:r>
        <w:t xml:space="preserve">Wet seasons were defined by conditions that generated significant stream responses and Vertical Rack sample collection, and the dry season was defined by baseflow conditions with no detectable stream responses at the Vertical Racks.</w:t>
      </w:r>
    </w:p>
    <w:p>
      <w:pPr>
        <w:pStyle w:val="BodyText"/>
      </w:pPr>
      <w:r>
        <w:t xml:space="preserve"> </w:t>
      </w:r>
    </w:p>
    <w:p>
      <w:pPr>
        <w:pStyle w:val="BodyText"/>
      </w:pPr>
      <w:r>
        <w:t xml:space="preserve">LWSA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7</w:t>
      </w:r>
      <w:r>
        <w:t xml:space="preserve">).</w:t>
      </w:r>
    </w:p>
    <w:p>
      <w:pPr>
        <w:pStyle w:val="BodyText"/>
      </w:pPr>
      <w:r>
        <w:t xml:space="preserve"> </w:t>
      </w:r>
    </w:p>
    <w:p>
      <w:pPr>
        <w:pStyle w:val="CaptionedFigure"/>
      </w:pPr>
      <w:r>
        <w:drawing>
          <wp:inline>
            <wp:extent cx="5943600" cy="7641771"/>
            <wp:effectExtent b="0" l="0" r="0" t="0"/>
            <wp:docPr descr="Figure 7: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BodyText"/>
      </w:pPr>
      <w:r>
        <w:t xml:space="preserve"> </w:t>
      </w:r>
    </w:p>
    <w:p>
      <w:pPr>
        <w:pStyle w:val="Heading4"/>
      </w:pPr>
      <w:bookmarkStart w:id="62" w:name="spatial-patterns-in-doc-nom"/>
      <w:r>
        <w:t xml:space="preserve">Spatial patterns in DOC &amp; NOM</w:t>
      </w:r>
      <w:bookmarkEnd w:id="62"/>
    </w:p>
    <w:p>
      <w:pPr>
        <w:pStyle w:val="FirstParagraph"/>
      </w:pPr>
      <w:r>
        <w:t xml:space="preserve">Several comparisons can be made among the twelve synoptically sampled river sites (refer to Figure</w:t>
      </w:r>
      <w:r>
        <w:t xml:space="preserve"> </w:t>
      </w:r>
      <w:r>
        <w:t xml:space="preserve">2</w:t>
      </w:r>
      <w:r>
        <w:t xml:space="preserve">); presented here are comparisons of cross-basin (from LWSA to SWSA) and upstream to downstream, and sampling methods evaluated with respect to nested catchments and DOC range.</w:t>
      </w:r>
    </w:p>
    <w:p>
      <w:pPr>
        <w:pStyle w:val="BodyText"/>
      </w:pPr>
      <w:r>
        <w:t xml:space="preserve"> </w:t>
      </w:r>
    </w:p>
    <w:p>
      <w:pPr>
        <w:pStyle w:val="Heading5"/>
      </w:pPr>
      <w:bookmarkStart w:id="63" w:name="X4a2bd2cd20dd488c4cd0deb9ac5acc52cd50d31"/>
      <w:r>
        <w:t xml:space="preserve">Cross-basin &amp; upstream/downstream DOC comparison</w:t>
      </w:r>
      <w:bookmarkEnd w:id="63"/>
    </w:p>
    <w:p>
      <w:pPr>
        <w:pStyle w:val="FirstParagraph"/>
      </w:pPr>
      <w:r>
        <w:t xml:space="preserve">Mean DOC concentrations were similar when comparing across basins from the current source water tributaries, Rithet and Judge Creeks, to the future supplemental supply, Leech River at the Tunnel (Table</w:t>
      </w:r>
      <w:r>
        <w:t xml:space="preserve"> </w:t>
      </w:r>
      <w:r>
        <w:t xml:space="preserve">6</w:t>
      </w:r>
      <w:r>
        <w:t xml:space="preserve">). From upstream to downstream sites there was an overall decreasing trend for DOC concentrations and NOM aromaticity and/or molecular size (Figure</w:t>
      </w:r>
      <w:r>
        <w:t xml:space="preserve"> </w:t>
      </w:r>
      <w:r>
        <w:t xml:space="preserve">8</w:t>
      </w:r>
      <w:r>
        <w:t xml:space="preserve">).</w:t>
      </w:r>
    </w:p>
    <w:p>
      <w:pPr>
        <w:pStyle w:val="BodyText"/>
      </w:pPr>
      <w:r>
        <w:t xml:space="preserve"> </w:t>
      </w:r>
    </w:p>
    <w:p>
      <w:pPr>
        <w:pStyle w:val="TableCaption"/>
      </w:pPr>
      <w:r>
        <w:t xml:space="preserve">Table 6:</w:t>
      </w:r>
      <w:r>
        <w:t xml:space="preserve"> </w:t>
      </w:r>
      <w:r>
        <w:rPr>
          <w:i/>
        </w:rPr>
        <w:t xml:space="preserve">Dissolved organic carbon concentrations across twelve synoptically sampled river sites</w:t>
      </w:r>
    </w:p>
    <w:tbl>
      <w:tblPr>
        <w:tblStyle w:val="Table"/>
        <w:tblW w:type="pct" w:w="5000.0"/>
        <w:tblLook w:firstRow="1"/>
        <w:tblCaption w:val="Table 6: Dissolved organic carbon concentrations across twelve synoptically sampled river sites"/>
      </w:tblPr>
      <w:tblGrid>
        <w:gridCol w:w="905"/>
        <w:gridCol w:w="3394"/>
        <w:gridCol w:w="452"/>
        <w:gridCol w:w="603"/>
        <w:gridCol w:w="452"/>
        <w:gridCol w:w="301"/>
        <w:gridCol w:w="528"/>
        <w:gridCol w:w="754"/>
        <w:gridCol w:w="52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over 16 months." title="" id="1" name="Picture"/>
            <a:graphic>
              <a:graphicData uri="http://schemas.openxmlformats.org/drawingml/2006/picture">
                <pic:pic>
                  <pic:nvPicPr>
                    <pic:cNvPr descr="R-outputs_UBC-forWater-MSc_HMc/figures/Ch2_boxplot_allParams-allSites-allSamples.png" id="0" name="Picture"/>
                    <pic:cNvPicPr>
                      <a:picLocks noChangeArrowheads="1" noChangeAspect="1"/>
                    </pic:cNvPicPr>
                  </pic:nvPicPr>
                  <pic:blipFill>
                    <a:blip r:embed="rId64"/>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rPr>
          <w:i/>
        </w:rPr>
        <w:t xml:space="preserve">Synoptic sampling results of dissolved organic carbon concentrations from 12 sites over 16 months.</w:t>
      </w:r>
    </w:p>
    <w:p>
      <w:pPr>
        <w:pStyle w:val="BodyText"/>
      </w:pPr>
      <w:r>
        <w:t xml:space="preserve"> </w:t>
      </w:r>
    </w:p>
    <w:p>
      <w:pPr>
        <w:pStyle w:val="BodyText"/>
      </w:pPr>
      <w:r>
        <w:t xml:space="preserve"> </w:t>
      </w:r>
    </w:p>
    <w:p>
      <w:pPr>
        <w:pStyle w:val="TableCaption"/>
      </w:pPr>
      <w:r>
        <w:t xml:space="preserve">Table 7:</w:t>
      </w:r>
      <w:r>
        <w:t xml:space="preserve"> </w:t>
      </w:r>
      <w:r>
        <w:rPr>
          <w:i/>
        </w:rPr>
        <w:t xml:space="preserve">Spectral properties of natural organic matter (NOM) character across twelve synoptically sampled river sites</w:t>
      </w:r>
    </w:p>
    <w:tbl>
      <w:tblPr>
        <w:tblStyle w:val="Table"/>
        <w:tblW w:type="pct" w:w="5000.0"/>
        <w:tblLook w:firstRow="1"/>
        <w:tblCaption w:val="Table 7: Spectral properties of natural organic matter (NOM) character across twelve synoptically sampled river sites"/>
      </w:tblPr>
      <w:tblGrid>
        <w:gridCol w:w="513"/>
        <w:gridCol w:w="1926"/>
        <w:gridCol w:w="256"/>
        <w:gridCol w:w="941"/>
        <w:gridCol w:w="299"/>
        <w:gridCol w:w="941"/>
        <w:gridCol w:w="941"/>
        <w:gridCol w:w="599"/>
        <w:gridCol w:w="299"/>
        <w:gridCol w:w="599"/>
        <w:gridCol w:w="5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12.49</w:t>
            </w:r>
          </w:p>
        </w:tc>
        <w:tc>
          <w:p>
            <w:pPr>
              <w:pStyle w:val="Compact"/>
              <w:jc w:val="right"/>
            </w:pPr>
            <w:r>
              <w:t xml:space="preserve">39.82</w:t>
            </w:r>
          </w:p>
        </w:tc>
        <w:tc>
          <w:p>
            <w:pPr>
              <w:pStyle w:val="Compact"/>
              <w:jc w:val="right"/>
            </w:pPr>
            <w:r>
              <w:t xml:space="preserve">4.3</w:t>
            </w:r>
          </w:p>
        </w:tc>
        <w:tc>
          <w:p>
            <w:pPr>
              <w:pStyle w:val="Compact"/>
              <w:jc w:val="right"/>
            </w:pPr>
            <w:r>
              <w:t xml:space="preserve">0.2</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5.68</w:t>
            </w:r>
          </w:p>
        </w:tc>
        <w:tc>
          <w:p>
            <w:pPr>
              <w:pStyle w:val="Compact"/>
              <w:jc w:val="right"/>
            </w:pPr>
            <w:r>
              <w:t xml:space="preserve">30.72</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7.04</w:t>
            </w:r>
          </w:p>
        </w:tc>
        <w:tc>
          <w:p>
            <w:pPr>
              <w:pStyle w:val="Compact"/>
              <w:jc w:val="right"/>
            </w:pPr>
            <w:r>
              <w:t xml:space="preserve">29.03</w:t>
            </w:r>
          </w:p>
        </w:tc>
        <w:tc>
          <w:p>
            <w:pPr>
              <w:pStyle w:val="Compact"/>
              <w:jc w:val="right"/>
            </w:pPr>
            <w:r>
              <w:t xml:space="preserve">4.4</w:t>
            </w:r>
          </w:p>
        </w:tc>
        <w:tc>
          <w:p>
            <w:pPr>
              <w:pStyle w:val="Compact"/>
              <w:jc w:val="right"/>
            </w:pPr>
            <w:r>
              <w:t xml:space="preserve">0.1</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13.26</w:t>
            </w:r>
          </w:p>
        </w:tc>
        <w:tc>
          <w:p>
            <w:pPr>
              <w:pStyle w:val="Compact"/>
              <w:jc w:val="right"/>
            </w:pPr>
            <w:r>
              <w:t xml:space="preserve">41.66</w:t>
            </w:r>
          </w:p>
        </w:tc>
        <w:tc>
          <w:p>
            <w:pPr>
              <w:pStyle w:val="Compact"/>
              <w:jc w:val="right"/>
            </w:pPr>
            <w:r>
              <w:t xml:space="preserve">4.4</w:t>
            </w:r>
          </w:p>
        </w:tc>
        <w:tc>
          <w:p>
            <w:pPr>
              <w:pStyle w:val="Compact"/>
              <w:jc w:val="right"/>
            </w:pPr>
            <w:r>
              <w:t xml:space="preserve">0.2</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5.18</w:t>
            </w:r>
          </w:p>
        </w:tc>
        <w:tc>
          <w:p>
            <w:pPr>
              <w:pStyle w:val="Compact"/>
              <w:jc w:val="right"/>
            </w:pPr>
            <w:r>
              <w:t xml:space="preserve">16.98</w:t>
            </w:r>
          </w:p>
        </w:tc>
        <w:tc>
          <w:p>
            <w:pPr>
              <w:pStyle w:val="Compact"/>
              <w:jc w:val="right"/>
            </w:pPr>
            <w:r>
              <w:t xml:space="preserve">4.5</w:t>
            </w:r>
          </w:p>
        </w:tc>
        <w:tc>
          <w:p>
            <w:pPr>
              <w:pStyle w:val="Compact"/>
              <w:jc w:val="right"/>
            </w:pPr>
            <w:r>
              <w:t xml:space="preserve">0.4</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4.69</w:t>
            </w:r>
          </w:p>
        </w:tc>
        <w:tc>
          <w:p>
            <w:pPr>
              <w:pStyle w:val="Compact"/>
              <w:jc w:val="right"/>
            </w:pPr>
            <w:r>
              <w:t xml:space="preserve">24.87</w:t>
            </w:r>
          </w:p>
        </w:tc>
        <w:tc>
          <w:p>
            <w:pPr>
              <w:pStyle w:val="Compact"/>
              <w:jc w:val="right"/>
            </w:pPr>
            <w:r>
              <w:t xml:space="preserve">4.6</w:t>
            </w:r>
          </w:p>
        </w:tc>
        <w:tc>
          <w:p>
            <w:pPr>
              <w:pStyle w:val="Compact"/>
              <w:jc w:val="right"/>
            </w:pPr>
            <w:r>
              <w:t xml:space="preserve">0.2</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5.20</w:t>
            </w:r>
          </w:p>
        </w:tc>
        <w:tc>
          <w:p>
            <w:pPr>
              <w:pStyle w:val="Compact"/>
              <w:jc w:val="right"/>
            </w:pPr>
            <w:r>
              <w:t xml:space="preserve">31.18</w:t>
            </w:r>
          </w:p>
        </w:tc>
        <w:tc>
          <w:p>
            <w:pPr>
              <w:pStyle w:val="Compact"/>
              <w:jc w:val="right"/>
            </w:pPr>
            <w:r>
              <w:t xml:space="preserve">4.3</w:t>
            </w:r>
          </w:p>
        </w:tc>
        <w:tc>
          <w:p>
            <w:pPr>
              <w:pStyle w:val="Compact"/>
              <w:jc w:val="right"/>
            </w:pPr>
            <w:r>
              <w:t xml:space="preserve">0.2</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10.39</w:t>
            </w:r>
          </w:p>
        </w:tc>
        <w:tc>
          <w:p>
            <w:pPr>
              <w:pStyle w:val="Compact"/>
              <w:jc w:val="right"/>
            </w:pPr>
            <w:r>
              <w:t xml:space="preserve">14.17</w:t>
            </w:r>
          </w:p>
        </w:tc>
        <w:tc>
          <w:p>
            <w:pPr>
              <w:pStyle w:val="Compact"/>
              <w:jc w:val="right"/>
            </w:pPr>
            <w:r>
              <w:t xml:space="preserve">4.3</w:t>
            </w:r>
          </w:p>
        </w:tc>
        <w:tc>
          <w:p>
            <w:pPr>
              <w:pStyle w:val="Compact"/>
              <w:jc w:val="right"/>
            </w:pPr>
            <w:r>
              <w:t xml:space="preserve">0.2</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5.18</w:t>
            </w:r>
          </w:p>
        </w:tc>
        <w:tc>
          <w:p>
            <w:pPr>
              <w:pStyle w:val="Compact"/>
              <w:jc w:val="right"/>
            </w:pPr>
            <w:r>
              <w:t xml:space="preserve">27.49</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6.85</w:t>
            </w:r>
          </w:p>
        </w:tc>
        <w:tc>
          <w:p>
            <w:pPr>
              <w:pStyle w:val="Compact"/>
              <w:jc w:val="right"/>
            </w:pPr>
            <w:r>
              <w:t xml:space="preserve">14.62</w:t>
            </w:r>
          </w:p>
        </w:tc>
        <w:tc>
          <w:p>
            <w:pPr>
              <w:pStyle w:val="Compact"/>
              <w:jc w:val="right"/>
            </w:pPr>
            <w:r>
              <w:t xml:space="preserve">4.4</w:t>
            </w:r>
          </w:p>
        </w:tc>
        <w:tc>
          <w:p>
            <w:pPr>
              <w:pStyle w:val="Compact"/>
              <w:jc w:val="right"/>
            </w:pPr>
            <w:r>
              <w:t xml:space="preserve">0.3</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12.30</w:t>
            </w:r>
          </w:p>
        </w:tc>
        <w:tc>
          <w:p>
            <w:pPr>
              <w:pStyle w:val="Compact"/>
              <w:jc w:val="right"/>
            </w:pPr>
            <w:r>
              <w:t xml:space="preserve">20.59</w:t>
            </w:r>
          </w:p>
        </w:tc>
        <w:tc>
          <w:p>
            <w:pPr>
              <w:pStyle w:val="Compact"/>
              <w:jc w:val="right"/>
            </w:pPr>
            <w:r>
              <w:t xml:space="preserve">4.6</w:t>
            </w:r>
          </w:p>
        </w:tc>
        <w:tc>
          <w:p>
            <w:pPr>
              <w:pStyle w:val="Compact"/>
              <w:jc w:val="right"/>
            </w:pPr>
            <w:r>
              <w:t xml:space="preserve">0.0</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7.70</w:t>
            </w:r>
          </w:p>
        </w:tc>
        <w:tc>
          <w:p>
            <w:pPr>
              <w:pStyle w:val="Compact"/>
              <w:jc w:val="right"/>
            </w:pPr>
            <w:r>
              <w:t xml:space="preserve">14.69</w:t>
            </w:r>
          </w:p>
        </w:tc>
        <w:tc>
          <w:p>
            <w:pPr>
              <w:pStyle w:val="Compact"/>
              <w:jc w:val="right"/>
            </w:pPr>
            <w:r>
              <w:t xml:space="preserve">4.5</w:t>
            </w:r>
          </w:p>
        </w:tc>
        <w:tc>
          <w:p>
            <w:pPr>
              <w:pStyle w:val="Compact"/>
              <w:jc w:val="right"/>
            </w:pPr>
            <w:r>
              <w:t xml:space="preserve">0.2</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4.69</w:t>
            </w:r>
          </w:p>
        </w:tc>
        <w:tc>
          <w:p>
            <w:pPr>
              <w:pStyle w:val="Compact"/>
              <w:jc w:val="right"/>
            </w:pPr>
            <w:r>
              <w:t xml:space="preserve">41.66</w:t>
            </w:r>
          </w:p>
        </w:tc>
        <w:tc>
          <w:p>
            <w:pPr>
              <w:pStyle w:val="Compact"/>
              <w:jc w:val="right"/>
            </w:pPr>
            <w:r>
              <w:t xml:space="preserve">4.4</w:t>
            </w:r>
          </w:p>
        </w:tc>
        <w:tc>
          <w:p>
            <w:pPr>
              <w:pStyle w:val="Compact"/>
              <w:jc w:val="right"/>
            </w:pPr>
            <w:r>
              <w:t xml:space="preserve">0.2</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Heading5"/>
      </w:pPr>
      <w:bookmarkStart w:id="65" w:name="X6f02a84076d04ad3e84a7736e8ff8c1aed8ed02"/>
      <w:r>
        <w:t xml:space="preserve">Nested catchments, DOC and sample-type comparison</w:t>
      </w:r>
      <w:bookmarkEnd w:id="65"/>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w:t>
      </w:r>
    </w:p>
    <w:p>
      <w:pPr>
        <w:pStyle w:val="BodyText"/>
      </w:pPr>
      <w:r>
        <w:t xml:space="preserve"> </w:t>
      </w:r>
    </w:p>
    <w:p>
      <w:pPr>
        <w:pStyle w:val="BodyText"/>
      </w:pPr>
      <w:r>
        <w:t xml:space="preserve">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w:t>
      </w:r>
      <w:r>
        <w:t xml:space="preserve"> </w:t>
      </w:r>
      <w:r>
        <w:t xml:space="preserve">2</w:t>
      </w:r>
      <w:r>
        <w:t xml:space="preserve">).</w:t>
      </w:r>
    </w:p>
    <w:p>
      <w:pPr>
        <w:pStyle w:val="BodyText"/>
      </w:pPr>
      <w: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w:t>
      </w:r>
      <w:r>
        <w:t xml:space="preserve"> </w:t>
      </w:r>
      <w:r>
        <w:t xml:space="preserve">9</w:t>
      </w:r>
      <w:r>
        <w:t xml:space="preserve">). Synoptic Grab samples from the headwater sites of Weeks and ChrisCrk were compared to Rack and Grab samples from below their confluence at LeechHead site (Figure</w:t>
      </w:r>
      <w:r>
        <w:t xml:space="preserve"> </w:t>
      </w:r>
      <w:r>
        <w:t xml:space="preserve">9</w:t>
      </w:r>
      <w:r>
        <w:t xml:space="preserve">, plot A). Similarly, Grab samples collected at the headwaters of Cragg Creek, Jarvis and Lazar creeks, were compared to all samples at the CraggCrk monitoring site (Figure</w:t>
      </w:r>
      <w:r>
        <w:t xml:space="preserve"> </w:t>
      </w:r>
      <w:r>
        <w:t xml:space="preserve">9</w:t>
      </w:r>
      <w:r>
        <w:t xml:space="preserve">, plot B). Higher order rivers were also examined in a similar way, comparing Rack and Grab samples at the Tunnel to Grab samples collected upstream at LeechHead, CraggCrk and WestLeech sites (Figure</w:t>
      </w:r>
      <w:r>
        <w:t xml:space="preserve"> </w:t>
      </w:r>
      <w:r>
        <w:t xml:space="preserve">9</w:t>
      </w:r>
      <w:r>
        <w:t xml:space="preserve">, plot C).</w:t>
      </w:r>
    </w:p>
    <w:p>
      <w:pPr>
        <w:pStyle w:val="BodyText"/>
      </w:pPr>
      <w:r>
        <w:t xml:space="preserve"> </w:t>
      </w:r>
    </w:p>
    <w:p>
      <w:pPr>
        <w:pStyle w:val="CaptionedFigure"/>
      </w:pPr>
      <w:r>
        <w:drawing>
          <wp:inline>
            <wp:extent cx="5504749" cy="5504749"/>
            <wp:effectExtent b="0" l="0" r="0" t="0"/>
            <wp:docPr descr="Figure 9: Grab sample DOC at upstream locations compared to Rack and Grab sample DOC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6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rPr>
          <w:i/>
        </w:rPr>
        <w:t xml:space="preserve">Grab sample DOC at upstream locations compared to Rack and Grab sample DOC 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the combination of Rack and Grab sampling did not capture the ranges of DOC observed in upstream Grab samples alone. LeechHead, below the confluence of Weeks and ChrisCrk, collected DOC concentrations that were close to the average of the two headwaters.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CraggCrk did not cover the same DOC variance as Grab sampling at the headwaters (Levene’s p-value 0.0011). Unlike LeechHead, which had moderate DOC concentrations relative to it’s two headwaters, samples collected at CraggCrk had DOC that was lower than concentrations in either of it’s headwater sites. The differences in DOC attenuation between these two sets can be attributed to different reach lengths between headwaters’ confluence and the downstream monitoring sites; where LeechHead was very close to the headwaters’ confluence and CraggCrk was considerably further from it’s headwaters’ sampling locations.</w:t>
      </w:r>
    </w:p>
    <w:p>
      <w:pPr>
        <w:pStyle w:val="BodyText"/>
      </w:pPr>
      <w:r>
        <w:t xml:space="preserve"> </w:t>
      </w:r>
    </w:p>
    <w:p>
      <w:pPr>
        <w:pStyle w:val="BodyText"/>
      </w:pPr>
      <w:r>
        <w:t xml:space="preserve">When higher order rivers were examined in a similar upstream-Grab/downstream-Rack’n’Grab comparison, the combination of Rack and Grab samples at the Leech Tunnel site did capture the DOC ranges observed in Grab samples at three upstream river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Heading4"/>
      </w:pPr>
      <w:bookmarkStart w:id="67" w:name="temporal-patterns-in-doc-nom"/>
      <w:r>
        <w:t xml:space="preserve">Temporal patterns in DOC &amp; NOM</w:t>
      </w:r>
      <w:bookmarkEnd w:id="67"/>
    </w:p>
    <w:p>
      <w:pPr>
        <w:pStyle w:val="FirstParagraph"/>
      </w:pPr>
      <w:r>
        <w:t xml:space="preserve">Over sixteen months, DOC concentrations followed similar trends across the synoptic sampling sites (Figure</w:t>
      </w:r>
      <w:r>
        <w:t xml:space="preserve"> </w:t>
      </w:r>
      <w:r>
        <w:t xml:space="preserve">10</w:t>
      </w:r>
      <w:r>
        <w:t xml:space="preserve">). DOC was highest early in the wet season and progressively decreased through the fall and winter, reaching minimum concentrations in the spring, and progressively increasing over the summer.</w:t>
      </w:r>
    </w:p>
    <w:p>
      <w:pPr>
        <w:pStyle w:val="CaptionedFigure"/>
      </w:pPr>
      <w:r>
        <w:drawing>
          <wp:inline>
            <wp:extent cx="5504749" cy="3669832"/>
            <wp:effectExtent b="0" l="0" r="0" t="0"/>
            <wp:docPr descr="Figure 10:  Trends in dissolved organic carbon concentrations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6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Trends in dissolved organic carbon concentrations over sixteen months at twelve sites across the Greater Victoria Water Supply Area. Trend line shows locally weighted smoothing (loess, local polynomial regression).</w:t>
      </w:r>
    </w:p>
    <w:p>
      <w:pPr>
        <w:pStyle w:val="BodyText"/>
      </w:pPr>
      <w:r>
        <w:t xml:space="preserve"> </w:t>
      </w:r>
    </w:p>
    <w:p>
      <w:pPr>
        <w:pStyle w:val="BodyText"/>
      </w:pPr>
      <w:r>
        <w:t xml:space="preserve">While there was an apparent sinusoidal trend in DOC over the seasons sampled (Figure</w:t>
      </w:r>
      <w:r>
        <w:t xml:space="preserve"> </w:t>
      </w:r>
      <w:r>
        <w:t xml:space="preserve">10</w:t>
      </w:r>
      <w:r>
        <w:t xml:space="preserve">), there was almost no difference between the mean DOC concentration between the wet and dry seasons (Table</w:t>
      </w:r>
      <w:r>
        <w:t xml:space="preserve"> </w:t>
      </w:r>
      <w:r>
        <w:t xml:space="preserve">8</w:t>
      </w:r>
      <w:r>
        <w:t xml:space="preserve">). However, there were far fewer samples collected in the dry season than during the wet season.</w:t>
      </w:r>
    </w:p>
    <w:p>
      <w:pPr>
        <w:pStyle w:val="BodyText"/>
      </w:pPr>
      <w:r>
        <w:t xml:space="preserve"> </w:t>
      </w:r>
    </w:p>
    <w:p>
      <w:pPr>
        <w:pStyle w:val="TableCaption"/>
      </w:pPr>
      <w:r>
        <w:t xml:space="preserve">Table 8:</w:t>
      </w:r>
      <w:r>
        <w:t xml:space="preserve"> </w:t>
      </w:r>
      <w:r>
        <w:rPr>
          <w:i/>
        </w:rPr>
        <w:t xml:space="preserve">Seasonal sample collection and DOC summary from twelve synoptic sampling sites</w:t>
      </w:r>
    </w:p>
    <w:tbl>
      <w:tblPr>
        <w:tblStyle w:val="Table"/>
        <w:tblW w:type="pct" w:w="5000.0"/>
        <w:tblLook w:firstRow="1"/>
        <w:tblCaption w:val="Table 8: Seasonal sample collection and DOC summary from twelve synoptic sampling sites"/>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The wet season was most heavily sampled at the six monitoring sites, where Rack samplers more than doubled the number of samples that would have been collected through Grab sampling alone. Isolating DOC results to the six monitoring sites during only the wet season allows for comparison of Vertical Rack sampling methods to standard synoptic Grab sampling (Figure</w:t>
      </w:r>
      <w:r>
        <w:t xml:space="preserve"> </w:t>
      </w:r>
      <w:r>
        <w:t xml:space="preserve">11</w:t>
      </w:r>
      <w:r>
        <w:t xml:space="preserve">, Table</w:t>
      </w:r>
      <w:r>
        <w:t xml:space="preserve"> </w:t>
      </w:r>
      <w:r>
        <w:t xml:space="preserve">9</w:t>
      </w:r>
      <w:r>
        <w:t xml:space="preserve">).</w:t>
      </w:r>
    </w:p>
    <w:p>
      <w:pPr>
        <w:pStyle w:val="BodyText"/>
      </w:pPr>
      <w:r>
        <w:t xml:space="preserve"> </w:t>
      </w:r>
    </w:p>
    <w:p>
      <w:pPr>
        <w:pStyle w:val="TableCaption"/>
      </w:pPr>
      <w:r>
        <w:t xml:space="preserve">Table 9:</w:t>
      </w:r>
      <w:r>
        <w:t xml:space="preserve"> </w:t>
      </w:r>
      <w:r>
        <w:rPr>
          <w:i/>
        </w:rPr>
        <w:t xml:space="preserve">Wet season DOC by sample collection method at the six monitoring sites</w:t>
      </w:r>
    </w:p>
    <w:tbl>
      <w:tblPr>
        <w:tblStyle w:val="Table"/>
        <w:tblW w:type="pct" w:w="0.0"/>
        <w:tblLook w:firstRow="1"/>
        <w:tblCaption w:val="Table 9: Wet season DOC by sample collection method at the six monitoring sites"/>
      </w:tblPr>
      <w:tblGrid/>
      <w:tr>
        <w:trPr>
          <w:cnfStyle w:firstRow="1"/>
        </w:trPr>
        <w:tc>
          <w:tcPr>
            <w:tcBorders>
              <w:bottom w:val="single"/>
            </w:tcBorders>
            <w:vAlign w:val="bottom"/>
          </w:tcPr>
          <w:p>
            <w:pPr>
              <w:pStyle w:val="Compact"/>
              <w:jc w:val="left"/>
            </w:pPr>
            <w:r>
              <w:t xml:space="preserve">sample_type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6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DOC from each monitoring site grouped by collection method (synoptic Grab vs. Vertical Rack samples).</w:t>
      </w:r>
    </w:p>
    <w:p>
      <w:pPr>
        <w:pStyle w:val="BodyText"/>
      </w:pPr>
      <w:r>
        <w:t xml:space="preserve"> </w:t>
      </w:r>
    </w:p>
    <w:p>
      <w:pPr>
        <w:pStyle w:val="BodyText"/>
      </w:pPr>
      <w:r>
        <w:t xml:space="preserve">Vertical Racks captured higher DOC concentrations than synoptic Grab sampling alone and the two methods collected samples with comparable variance (Table</w:t>
      </w:r>
      <w:r>
        <w:t xml:space="preserve"> </w:t>
      </w:r>
      <w:r>
        <w:t xml:space="preserve">9</w:t>
      </w:r>
      <w:r>
        <w:t xml:space="preserv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p>
    <w:p>
      <w:pPr>
        <w:pStyle w:val="BodyText"/>
      </w:pPr>
      <w:r>
        <w:t xml:space="preserve"> </w:t>
      </w:r>
    </w:p>
    <w:p>
      <w:pPr>
        <w:pStyle w:val="Heading5"/>
      </w:pPr>
      <w:bookmarkStart w:id="70" w:name="seasonal-changes-in-nom-character"/>
      <w:r>
        <w:t xml:space="preserve">Seasonal changes in NOM character</w:t>
      </w:r>
      <w:bookmarkEnd w:id="70"/>
    </w:p>
    <w:p>
      <w:pPr>
        <w:pStyle w:val="FirstParagraph"/>
      </w:pPr>
      <w:r>
        <w:t xml:space="preserve">Molecular aromaticity is associated with chromophores which are responsible for UV-Vis absorbance in aqueous NOM, therefore more aromatic NOM molecules (i.e. humic substances) will absorb more energy at 254 nm wavelength than less-aromatic molecules. To evaluate if (and when) molecular character of river samples shifted, DOC concentrations (NPOC) were compared to absorbance-based DOC estimates from the spectro::lyser (Figure</w:t>
      </w:r>
      <w:r>
        <w:t xml:space="preserve"> </w:t>
      </w:r>
      <w:r>
        <w:t xml:space="preserve">12</w:t>
      </w:r>
      <w:r>
        <w:t xml:space="preserve">).</w:t>
      </w:r>
    </w:p>
    <w:p>
      <w:pPr>
        <w:pStyle w:val="BodyText"/>
      </w:pPr>
      <w:r>
        <w:t xml:space="preserve"> </w:t>
      </w:r>
    </w:p>
    <w:p>
      <w:pPr>
        <w:pStyle w:val="CaptionedFigure"/>
      </w:pPr>
      <w:r>
        <w:drawing>
          <wp:inline>
            <wp:extent cx="4587290" cy="4587290"/>
            <wp:effectExtent b="0" l="0" r="0" t="0"/>
            <wp:docPr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title="" id="1" name="Picture"/>
            <a:graphic>
              <a:graphicData uri="http://schemas.openxmlformats.org/drawingml/2006/picture">
                <pic:pic>
                  <pic:nvPicPr>
                    <pic:cNvPr descr="R-outputs_UBC-forWater-MSc_HMc/figures/Ch2_DOC-CDOM_seasonal_with-Inset.png" id="0"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pPr>
        <w:pStyle w:val="BodyText"/>
      </w:pPr>
      <w:r>
        <w:t xml:space="preserve"> </w:t>
      </w:r>
    </w:p>
    <w:p>
      <w:pPr>
        <w:pStyle w:val="BodyText"/>
      </w:pPr>
      <w:r>
        <w:t xml:space="preserve">The concentration of NOM in a sample is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(concentration-relative character). Seasonally grouped DOC and SUVA</w:t>
      </w:r>
      <w:r>
        <w:rPr>
          <w:vertAlign w:val="subscript"/>
        </w:rPr>
        <w:t xml:space="preserve">254</w:t>
      </w:r>
      <w:r>
        <w:t xml:space="preserve"> </w:t>
      </w:r>
      <w:r>
        <w:t xml:space="preserve">(Figure</w:t>
      </w:r>
      <w:r>
        <w:t xml:space="preserve"> </w:t>
      </w:r>
      <w:r>
        <w:t xml:space="preserve">13</w:t>
      </w:r>
      <w:r>
        <w:t xml:space="preserve">), also indicated a greater aromatic character in river water samples during the wet season compared to the dry season.</w:t>
      </w:r>
    </w:p>
    <w:p>
      <w:pPr>
        <w:pStyle w:val="BodyText"/>
      </w:pPr>
      <w:r>
        <w:t xml:space="preserve"> </w:t>
      </w:r>
    </w:p>
    <w:p>
      <w:pPr>
        <w:pStyle w:val="CaptionedFigure"/>
      </w:pPr>
      <w:r>
        <w:drawing>
          <wp:inline>
            <wp:extent cx="4587290" cy="3211103"/>
            <wp:effectExtent b="0" l="0" r="0" t="0"/>
            <wp:docPr descr="Figure 13:  Dissolved organic carbon plotted against specific UV absorbance at 254 nm,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72"/>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Dissolved organic carbon plotted against specific UV absorbance at 254 nm, showing greater aromaticity (more humic-like organic matter) in wet season samples.</w:t>
      </w:r>
    </w:p>
    <w:p>
      <w:pPr>
        <w:pStyle w:val="BodyText"/>
      </w:pPr>
      <w:r>
        <w:t xml:space="preserve"> </w:t>
      </w:r>
    </w:p>
    <w:p>
      <w:pPr>
        <w:pStyle w:val="BodyText"/>
      </w:pPr>
      <w:r>
        <w:t xml:space="preserve"> </w:t>
      </w:r>
    </w:p>
    <w:p>
      <w:pPr>
        <w:pStyle w:val="Heading3"/>
      </w:pPr>
      <w:bookmarkStart w:id="73" w:name="discussion"/>
      <w:r>
        <w:t xml:space="preserve">Discussion</w:t>
      </w:r>
      <w:bookmarkEnd w:id="73"/>
    </w:p>
    <w:p>
      <w:pPr>
        <w:pStyle w:val="FirstParagraph"/>
      </w:pPr>
      <w:r>
        <w:t xml:space="preserve">The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p>
    <w:p>
      <w:pPr>
        <w:pStyle w:val="BodyText"/>
      </w:pPr>
      <w:r>
        <w:t xml:space="preserve"> </w:t>
      </w:r>
    </w:p>
    <w:p>
      <w:pPr>
        <w:pStyle w:val="BodyText"/>
      </w:pPr>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pPr>
        <w:pStyle w:val="BodyText"/>
      </w:pPr>
      <w:r>
        <w:t xml:space="preserve"> </w:t>
      </w:r>
    </w:p>
    <w:p>
      <w:pPr>
        <w:pStyle w:val="BodyText"/>
      </w:pPr>
      <w:r>
        <w:t xml:space="preserve">From 366 quality controlled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p>
    <w:p>
      <w:pPr>
        <w:pStyle w:val="BodyText"/>
      </w:pPr>
      <w:r>
        <w:t xml:space="preserve"> </w:t>
      </w:r>
    </w:p>
    <w:p>
      <w:pPr>
        <w:pStyle w:val="BodyText"/>
      </w:pPr>
      <w:r>
        <w: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While the absolute magnitude of DOC varied between sites, the general temporal trends were similar across the study area. DOC was highest in the early wet season, then progressively decreased through the wet season. DOC was lowest during the coldest periods, and concentrations of DOC increased over the summer. Spectroscopic analyses indicated that the wet season NOM was predominantly humic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At the future point of diversion (5th order river), it was found that the combination of Vertical Rack and Grab samples collected the same variance in DOC that was observed in Grab samples upstream across three 4th order river sites (LeechHead, CraggCrk, WestLeech).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The longitudinal attenuation of DOC observed in the LWSA is promising for experimental forest fuel treatments (e.g. prescribed burning) in the headwaters, and is a positive indication for future inter-basin transfers and drinking water treatability.</w:t>
      </w:r>
    </w:p>
    <w:p>
      <w:pPr>
        <w:pStyle w:val="Compact"/>
        <w:numPr>
          <w:numId w:val="1002"/>
          <w:ilvl w:val="0"/>
        </w:numPr>
      </w:pPr>
      <w:r>
        <w:t xml:space="preserve">DOC scaling from upstream to down stream – comparable to JimButtle Turkey Lakes studies</w:t>
      </w:r>
    </w:p>
    <w:p>
      <w:pPr>
        <w:pStyle w:val="FirstParagraph"/>
      </w:pPr>
      <w:r>
        <w:t xml:space="preserve"> </w:t>
      </w:r>
    </w:p>
    <w:p>
      <w:pPr>
        <w:pStyle w:val="Heading3"/>
      </w:pPr>
      <w:bookmarkStart w:id="74" w:name="conclusions-and-future-directions"/>
      <w:r>
        <w:t xml:space="preserve">Conclusions and future directions</w:t>
      </w:r>
      <w:bookmarkEnd w:id="74"/>
    </w:p>
    <w:p>
      <w:pPr>
        <w:pStyle w:val="FirstParagraph"/>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pPr>
        <w:pStyle w:val="BodyText"/>
      </w:pPr>
      <w:r>
        <w:t xml:space="preserve"> </w:t>
      </w:r>
    </w:p>
    <w:p>
      <w:pPr>
        <w:pStyle w:val="BodyText"/>
      </w:pPr>
      <w:r>
        <w:t xml:space="preserve">Expanded comparisons between the Leech Tunnel site, Rithet Creek and Judge Creek would be interesting from a source water perspective, particularly if conducted in conjunction with Sooke Reservoir water balance and residence time studies.</w:t>
      </w:r>
    </w:p>
    <w:p>
      <w:pPr>
        <w:pStyle w:val="BodyText"/>
      </w:pPr>
      <w:r>
        <w:t xml:space="preserve">:)</w:t>
      </w:r>
    </w:p>
    <w:p>
      <w:pPr>
        <w:pStyle w:val="Heading2"/>
      </w:pPr>
      <w:bookmarkStart w:id="75" w:name="Xe223e1b91300fb2894112fb7fc077dfa6b55746"/>
      <w:r>
        <w:t xml:space="preserve">Leech monitoring sites and hydro-dynamics</w:t>
      </w:r>
      <w:bookmarkEnd w:id="75"/>
    </w:p>
    <w:p>
      <w:pPr>
        <w:pStyle w:val="Heading3"/>
      </w:pPr>
      <w:bookmarkStart w:id="76" w:name="introduction"/>
      <w:r>
        <w:t xml:space="preserve">Introduction</w:t>
      </w:r>
      <w:bookmarkEnd w:id="76"/>
    </w:p>
    <w:p>
      <w:pPr>
        <w:pStyle w:val="FirstParagraph"/>
      </w:pPr>
      <w:r>
        <w:t xml:space="preserve"> </w:t>
      </w:r>
    </w:p>
    <w:p>
      <w:pPr>
        <w:pStyle w:val="BodyText"/>
      </w:pPr>
      <w:r>
        <w:t xml:space="preserve">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humic substances or in-stream algae, i.e. allochthonous or autochthonous NOM). Concentrations and character of NOM vary over space and time. The river continuum concept predicts a temporal shift in NOM character from autochthonous (e.g. algal) to allochthonous (e.g. humic material) sources, and a spatial reduction in NOM molecular diversity from headwaters to river mouth. The river continuum concept (RCC) explains temporal changes in NOM character through variable mobilization of source material and biogeochemical processing. Spatial-scaling of NOM diversity is attributed to hydrological processes and most watershed characteristics, including: geomorphic variables;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The Pulse Shunt Concept (PSC) supplements temporal aspects of the RCC by describing how hydrologic events drive the magnitude, timing and spatial extent of NOM fluxes and therefore are ultimately responsible for NOM concentrations in streams over time</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 Raymond et al.</w:t>
      </w:r>
      <w:r>
        <w:t xml:space="preserve"> </w:t>
      </w:r>
      <w:hyperlink w:anchor="ref-Raymond2016">
        <w:r>
          <w:rPr>
            <w:rStyle w:val="Hyperlink"/>
          </w:rPr>
          <w:t xml:space="preserve">2016</w:t>
        </w:r>
      </w:hyperlink>
      <w:r>
        <w:t xml:space="preserve">)</w:t>
      </w:r>
      <w:r>
        <w: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events.</w:t>
      </w:r>
    </w:p>
    <w:p>
      <w:pPr>
        <w:pStyle w:val="BodyText"/>
      </w:pPr>
      <w:r>
        <w:t xml:space="preserve"> </w:t>
      </w:r>
    </w:p>
    <w:p>
      <w:pPr>
        <w:pStyle w:val="Heading5"/>
      </w:pPr>
      <w:bookmarkStart w:id="77" w:name="event-based-sampling"/>
      <w:r>
        <w:t xml:space="preserve">Event based sampling</w:t>
      </w:r>
      <w:bookmarkEnd w:id="77"/>
    </w:p>
    <w:p>
      <w:pPr>
        <w:pStyle w:val="FirstParagraph"/>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Pump samplers are effective for automatic event-based sampling that can be set up in the field and programmed to collect a set of water samples based on time intervals or changes in conditions (</w:t>
      </w:r>
      <w:r>
        <w:t xml:space="preserve">Harmel, King, and Slade (</w:t>
      </w:r>
      <w:hyperlink w:anchor="ref-Harmel2003">
        <w:r>
          <w:rPr>
            <w:rStyle w:val="Hyperlink"/>
          </w:rPr>
          <w:t xml:space="preserve">2003</w:t>
        </w:r>
      </w:hyperlink>
      <w:r>
        <w:t xml:space="preserve">)</w:t>
      </w:r>
      <w:r>
        <w:t xml:space="preserve">). However, pump samplers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w:t>
      </w:r>
    </w:p>
    <w:p>
      <w:pPr>
        <w:pStyle w:val="BodyText"/>
      </w:pPr>
      <w:r>
        <w:t xml:space="preserve"> </w:t>
      </w:r>
    </w:p>
    <w:p>
      <w:pPr>
        <w:pStyle w:val="BodyText"/>
      </w:pPr>
      <w:r>
        <w:t xml:space="preserve">A low-cost, customizable alternative to a pump sampler is a passive siphon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cannot yet collect water samples on the falling hydrograph limb</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4"/>
      </w:pPr>
      <w:bookmarkStart w:id="78" w:name="random-forests"/>
      <w:r>
        <w:t xml:space="preserve">Random Forests</w:t>
      </w:r>
      <w:bookmarkEnd w:id="78"/>
    </w:p>
    <w:p>
      <w:pPr>
        <w:pStyle w:val="FirstParagraph"/>
      </w:pPr>
      <w:r>
        <w:t xml:space="preserve">The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w:t>
      </w:r>
    </w:p>
    <w:p>
      <w:pPr>
        <w:pStyle w:val="BodyText"/>
      </w:pPr>
      <w:r>
        <w:t xml:space="preserve"> </w:t>
      </w:r>
    </w:p>
    <w:p>
      <w:pPr>
        <w:pStyle w:val="BodyText"/>
      </w:pPr>
      <w:r>
        <w:t xml:space="preserve">A collection of decision trees is a Random Forest, which play an important role for both predictive modeling and inference purposes. 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 RF is useful for solving practical statistical problems with real-world data and has been widely published in hydrologic and water resource research in recent years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however, the variable importance measure shows bias towards correlated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BodyText"/>
      </w:pPr>
      <w:r>
        <w:t xml:space="preserve">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p>
    <w:p>
      <w:pPr>
        <w:pStyle w:val="BodyText"/>
      </w:pPr>
      <w:r>
        <w:t xml:space="preserve"> </w:t>
      </w:r>
    </w:p>
    <w:p>
      <w:pPr>
        <w:pStyle w:val="Heading3"/>
      </w:pPr>
      <w:bookmarkStart w:id="79" w:name="methods"/>
      <w:r>
        <w:t xml:space="preserve">Methods</w:t>
      </w:r>
      <w:bookmarkEnd w:id="79"/>
    </w:p>
    <w:p>
      <w:pPr>
        <w:pStyle w:val="FirstParagraph"/>
      </w:pPr>
      <w:r>
        <w:t xml:space="preserve">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w:t>
      </w:r>
      <w:r>
        <w:t xml:space="preserve"> </w:t>
      </w:r>
      <w:r>
        <w:t xml:space="preserve">(Breiman</w:t>
      </w:r>
      <w:r>
        <w:t xml:space="preserve"> </w:t>
      </w:r>
      <w:hyperlink w:anchor="ref-Breiman2001">
        <w:r>
          <w:rPr>
            <w:rStyle w:val="Hyperlink"/>
          </w:rPr>
          <w:t xml:space="preserve">2001</w:t>
        </w:r>
      </w:hyperlink>
      <w:r>
        <w:t xml:space="preserve">)</w:t>
      </w:r>
      <w:r>
        <w:t xml:space="preserve"> </w:t>
      </w:r>
      <w:r>
        <w:t xml:space="preserve">were used to determine the relative importance of watershed characteristics and conditions in determining DOC concentrations and NOM character across the six sites of the LWSA.</w:t>
      </w:r>
    </w:p>
    <w:p>
      <w:pPr>
        <w:pStyle w:val="BodyText"/>
      </w:pPr>
      <w:r>
        <w:t xml:space="preserve"> </w:t>
      </w:r>
    </w:p>
    <w:p>
      <w:pPr>
        <w:pStyle w:val="Heading4"/>
      </w:pPr>
      <w:bookmarkStart w:id="80" w:name="leech-river-watershed"/>
      <w:r>
        <w:t xml:space="preserve">Leech River Watershed</w:t>
      </w:r>
      <w:bookmarkEnd w:id="80"/>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predominant hydroclimatic regime is pluvial and most of the ~2000 mm per year falls as rain</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BodyText"/>
      </w:pPr>
      <w:r>
        <w:t xml:space="preserve"> </w:t>
      </w:r>
    </w:p>
    <w:p>
      <w:pPr>
        <w:pStyle w:val="Heading4"/>
      </w:pPr>
      <w:bookmarkStart w:id="81" w:name="X5fb2cedbae057dbd635e04fcb01269139a5122f"/>
      <w:r>
        <w:t xml:space="preserve">Monitoring sites and sub-basin characteristics</w:t>
      </w:r>
      <w:bookmarkEnd w:id="81"/>
    </w:p>
    <w:p>
      <w:pPr>
        <w:pStyle w:val="FirstParagraph"/>
      </w:pPr>
      <w:r>
        <w:t xml:space="preserve">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w:t>
      </w:r>
      <w:r>
        <w:t xml:space="preserve"> </w:t>
      </w:r>
      <w:r>
        <w:t xml:space="preserve">14</w:t>
      </w:r>
      <w:r>
        <w:t xml:space="preserve">).</w:t>
      </w:r>
    </w:p>
    <w:p>
      <w:pPr>
        <w:pStyle w:val="BodyText"/>
      </w:pPr>
      <w:r>
        <w:t xml:space="preserve"> </w:t>
      </w:r>
    </w:p>
    <w:p>
      <w:pPr>
        <w:pStyle w:val="CaptionedFigure"/>
      </w:pPr>
      <w:r>
        <w:drawing>
          <wp:inline>
            <wp:extent cx="5943600" cy="5976414"/>
            <wp:effectExtent b="0" l="0" r="0" t="0"/>
            <wp:docPr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10</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10:</w:t>
      </w:r>
      <w:r>
        <w:t xml:space="preserve"> </w:t>
      </w:r>
      <w:r>
        <w:rPr>
          <w:i/>
        </w:rPr>
        <w:t xml:space="preserve">Watershed characteristics summary for study sites</w:t>
      </w:r>
    </w:p>
    <w:tbl>
      <w:tblPr>
        <w:tblStyle w:val="Table"/>
        <w:tblW w:type="pct" w:w="5000.0"/>
        <w:tblLook w:firstRow="1"/>
        <w:tblCaption w:val="Table 10: Watershed characteristics summary for study site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rPr>
          <w:i/>
          <w:b/>
        </w:rPr>
        <w:t xml:space="preserve">this is essentially the same method section as in chapter 2</w:t>
      </w:r>
    </w:p>
    <w:p>
      <w:pPr>
        <w:pStyle w:val="BodyText"/>
      </w:pPr>
      <w:r>
        <w: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Standard Grab samples were collected manually between storm events and during dry season baseflow.</w:t>
      </w:r>
    </w:p>
    <w:p>
      <w:pPr>
        <w:pStyle w:val="BodyText"/>
      </w:pPr>
      <w:r>
        <w:t xml:space="preserve"> </w:t>
      </w:r>
    </w:p>
    <w:p>
      <w:pPr>
        <w:pStyle w:val="BodyText"/>
      </w:pPr>
      <w:r>
        <w:t xml:space="preserve">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TidbiT v2 Temperature Data Logger, Onset, USA) that recorded air and water temperatures (Figure</w:t>
      </w:r>
      <w:r>
        <w:t xml:space="preserve"> </w:t>
      </w:r>
      <w:r>
        <w:t xml:space="preserve">3</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1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1"/>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 timestamps of event-based river samples collected near-simultaneously at sites across a watershed were used to inform stage-concentration relationships, and to tease out insights about relative hydrologic pulse responses across nested catchments.</w:t>
      </w:r>
    </w:p>
    <w:p>
      <w:pPr>
        <w:pStyle w:val="BodyText"/>
      </w:pPr>
      <w:r>
        <w:t xml:space="preserve"> </w:t>
      </w:r>
    </w:p>
    <w:p>
      <w:pPr>
        <w:pStyle w:val="Heading4"/>
      </w:pPr>
      <w:bookmarkStart w:id="83" w:name="sample-analysis"/>
      <w:r>
        <w:t xml:space="preserve">Sample analysis</w:t>
      </w:r>
      <w:bookmarkEnd w:id="83"/>
    </w:p>
    <w:p>
      <w:pPr>
        <w:pStyle w:val="FirstParagraph"/>
      </w:pPr>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and UV-Vis measurements were completed on a spectro::lyser spectrophotometer (S::can, Vienna, Austria)</w:t>
      </w:r>
    </w:p>
    <w:p>
      <w:pPr>
        <w:pStyle w:val="BodyText"/>
      </w:pPr>
      <w:r>
        <w:t xml:space="preserve"> </w:t>
      </w:r>
    </w:p>
    <w:p>
      <w:pPr>
        <w:pStyle w:val="BodyText"/>
      </w:pPr>
      <w:r>
        <w:t xml:space="preserve">Molecular character of NOM in water samples was assessed through specific ultraviolet absorbance at 254nm (SUVA</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w:t>
      </w:r>
      <w:r>
        <w:t xml:space="preserve">is UV absorption (spectral absorbance coefficient, SAC, m</w:t>
      </w:r>
      <w:r>
        <w:rPr>
          <w:vertAlign w:val="superscript"/>
        </w:rPr>
        <w:t xml:space="preserve">-1</w:t>
      </w:r>
      <w:r>
        <w:t xml:space="preserve">) at 254 nm wavelength, normalized to the samples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it correlates with NOM aromaticity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at wavelengths 250 nm and 365 nm, and is inversely related to aquatic humic solute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Additional details can be found in Chapter 2.</w:t>
      </w:r>
    </w:p>
    <w:p>
      <w:pPr>
        <w:pStyle w:val="BodyText"/>
      </w:pPr>
      <w:r>
        <w:t xml:space="preserve"> </w:t>
      </w:r>
    </w:p>
    <w:p>
      <w:pPr>
        <w:pStyle w:val="Heading4"/>
      </w:pPr>
      <w:bookmarkStart w:id="84" w:name="defining-rain-events-and-seasons"/>
      <w:r>
        <w:t xml:space="preserve">Defining rain events and seasons</w:t>
      </w:r>
      <w:bookmarkEnd w:id="84"/>
    </w:p>
    <w:p>
      <w:pPr>
        <w:pStyle w:val="FirstParagraph"/>
      </w:pPr>
      <w:r>
        <w:rPr>
          <w:i/>
          <w:b/>
        </w:rPr>
        <w:t xml:space="preserve">this is the same as in Chapter 2</w:t>
      </w:r>
    </w:p>
    <w:p>
      <w:pPr>
        <w:pStyle w:val="BodyText"/>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BodyText"/>
      </w:pPr>
      <w:r>
        <w:t xml:space="preserve"> </w:t>
      </w:r>
    </w:p>
    <w:p>
      <w:pPr>
        <w:pStyle w:val="Heading4"/>
      </w:pPr>
      <w:bookmarkStart w:id="85" w:name="random-forests-for-variable-importance"/>
      <w:r>
        <w:t xml:space="preserve">Random Forests for variable importance</w:t>
      </w:r>
      <w:bookmarkEnd w:id="85"/>
    </w:p>
    <w:p>
      <w:pPr>
        <w:pStyle w:val="FirstParagraph"/>
      </w:pPr>
      <w:r>
        <w:t xml:space="preserve">The R package RandomForest was built on Breiman’s Random Forests (RF) algorithm. RandomForest was used to determine the relative importance of watershed characteristics and conditions in determining DOC concentrations and DOM character in across the six sites of the LWSA</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BodyText"/>
      </w:pPr>
      <w:r>
        <w:rPr>
          <w:i/>
          <w:b/>
        </w:rPr>
        <w:t xml:space="preserve">EXPLAIN WHICH VARIBLES YOU USED AND WHY</w:t>
      </w:r>
    </w:p>
    <w:p>
      <w:pPr>
        <w:pStyle w:val="BodyText"/>
      </w:pPr>
      <w:r>
        <w:t xml:space="preserve">include:</w:t>
      </w:r>
      <w:r>
        <w:t xml:space="preserve"> </w:t>
      </w:r>
      <w:r>
        <w:t xml:space="preserve">* antecedent 7 day / 14 day / 21 day / 28 day / 35 day temperature &amp; rain</w:t>
      </w:r>
      <w:r>
        <w:t xml:space="preserve"> </w:t>
      </w:r>
      <w:r>
        <w:t xml:space="preserve">* what are key fire risk parameters – is there a link between fire weather risk and inceased NOM or DOC?</w:t>
      </w:r>
      <w:r>
        <w:t xml:space="preserve"> </w:t>
      </w:r>
      <w:r>
        <w:t xml:space="preserve">* include event data (rain intensity, amount, duration)</w:t>
      </w:r>
      <w:r>
        <w:t xml:space="preserve"> </w:t>
      </w:r>
      <w:r>
        <w:t xml:space="preserve">* include antecedent rain amounts</w:t>
      </w:r>
      <w:r>
        <w:t xml:space="preserve"> </w:t>
      </w:r>
      <w:r>
        <w:t xml:space="preserve">* include antecedent snow also</w:t>
      </w:r>
    </w:p>
    <w:p>
      <w:pPr>
        <w:pStyle w:val="BodyText"/>
      </w:pPr>
      <w:r>
        <w:t xml:space="preserve"> </w:t>
      </w:r>
    </w:p>
    <w:p>
      <w:pPr>
        <w:pStyle w:val="Heading3"/>
      </w:pPr>
      <w:bookmarkStart w:id="86" w:name="results"/>
      <w:r>
        <w:t xml:space="preserve">Results</w:t>
      </w:r>
      <w:bookmarkEnd w:id="86"/>
    </w:p>
    <w:p>
      <w:pPr>
        <w:pStyle w:val="Heading4"/>
      </w:pPr>
      <w:bookmarkStart w:id="87" w:name="rain-events-and-sampling"/>
      <w:r>
        <w:t xml:space="preserve">Rain events and sampling</w:t>
      </w:r>
      <w:bookmarkEnd w:id="87"/>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18 major rain events which corresponded to sample collection by the Vertical Racks (i.e. events large enough to trigger substantial river responses). The 18 Rack sampling rain events were defined by precipitation accumulating to 50 mm or more, where the events were separated from each other by a period of 14 hours or longer (Table</w:t>
      </w:r>
      <w:r>
        <w:t xml:space="preserve"> </w:t>
      </w:r>
      <w:r>
        <w:t xml:space="preserve">11</w:t>
      </w:r>
      <w:r>
        <w:t xml:space="preserve">).</w:t>
      </w:r>
    </w:p>
    <w:p>
      <w:pPr>
        <w:pStyle w:val="BodyText"/>
      </w:pPr>
      <w:r>
        <w:t xml:space="preserve"> </w:t>
      </w:r>
    </w:p>
    <w:p>
      <w:pPr>
        <w:pStyle w:val="TableCaption"/>
      </w:pPr>
      <w:r>
        <w:t xml:space="preserve">Table 11:</w:t>
      </w:r>
      <w:r>
        <w:t xml:space="preserve"> </w:t>
      </w:r>
      <w:r>
        <w:rPr>
          <w:i/>
        </w:rPr>
        <w:t xml:space="preserve">Rain events defined by a threshold of 50mm with 14-hour inter-event period</w:t>
      </w:r>
    </w:p>
    <w:tbl>
      <w:tblPr>
        <w:tblStyle w:val="Table"/>
        <w:tblW w:type="pct" w:w="5000.0"/>
        <w:tblLook w:firstRow="1"/>
        <w:tblCaption w:val="Table 11: Rain events defined by a threshold of 50mm with 14-hour inter-event period"/>
      </w:tblPr>
      <w:tblGrid>
        <w:gridCol w:w="828"/>
        <w:gridCol w:w="569"/>
        <w:gridCol w:w="828"/>
        <w:gridCol w:w="724"/>
        <w:gridCol w:w="931"/>
        <w:gridCol w:w="931"/>
        <w:gridCol w:w="828"/>
        <w:gridCol w:w="724"/>
        <w:gridCol w:w="776"/>
        <w:gridCol w:w="776"/>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SUVA</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3.24</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4.30</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4.68</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c>
          <w:p>
            <w:pPr>
              <w:pStyle w:val="Compact"/>
              <w:jc w:val="right"/>
            </w:pPr>
            <w:r>
              <w:t xml:space="preserve">18</w:t>
            </w:r>
          </w:p>
        </w:tc>
        <w:tc>
          <w:p>
            <w:pPr>
              <w:pStyle w:val="Compact"/>
              <w:jc w:val="right"/>
            </w:pPr>
            <w:r>
              <w:t xml:space="preserve">5.88</w:t>
            </w:r>
          </w:p>
        </w:tc>
        <w:tc>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c>
          <w:p>
            <w:pPr>
              <w:pStyle w:val="Compact"/>
              <w:jc w:val="right"/>
            </w:pPr>
            <w:r>
              <w:t xml:space="preserve">22</w:t>
            </w:r>
          </w:p>
        </w:tc>
        <w:tc>
          <w:p>
            <w:pPr>
              <w:pStyle w:val="Compact"/>
              <w:jc w:val="right"/>
            </w:pPr>
            <w:r>
              <w:t xml:space="preserve">4.68</w:t>
            </w:r>
          </w:p>
        </w:tc>
        <w:tc>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c>
          <w:p>
            <w:pPr>
              <w:pStyle w:val="Compact"/>
              <w:jc w:val="right"/>
            </w:pPr>
            <w:r>
              <w:t xml:space="preserve">3</w:t>
            </w:r>
          </w:p>
        </w:tc>
        <w:tc>
          <w:p>
            <w:pPr>
              <w:pStyle w:val="Compact"/>
              <w:jc w:val="right"/>
            </w:pPr>
            <w:r>
              <w:t xml:space="preserve">2.97</w:t>
            </w:r>
          </w:p>
        </w:tc>
        <w:tc>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1.85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3.57</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3.64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3.69</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3.71</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3.11</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3.06</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2.92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3.09</w:t>
            </w:r>
          </w:p>
        </w:tc>
        <w:tc>
          <w:p>
            <w:pPr>
              <w:pStyle w:val="Compact"/>
              <w:jc w:val="right"/>
            </w:pPr>
            <w:r>
              <w:t xml:space="preserve">4.48</w:t>
            </w:r>
          </w:p>
        </w:tc>
      </w:tr>
    </w:tbl>
    <w:p>
      <w:pPr>
        <w:pStyle w:val="BodyText"/>
      </w:pPr>
      <w:r>
        <w:t xml:space="preserve"> </w:t>
      </w:r>
    </w:p>
    <w:p>
      <w:pPr>
        <w:pStyle w:val="BodyText"/>
      </w:pPr>
      <w:r>
        <w:t xml:space="preserve">The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river response at each monitoring site, which was primarily based on the presence or absence of major rain events and included a period of snowmelt late in the 2018/2019 wet season (Figure</w:t>
      </w:r>
      <w:r>
        <w:t xml:space="preserve"> </w:t>
      </w:r>
      <w:r>
        <w:t xml:space="preserve">16</w:t>
      </w:r>
      <w:r>
        <w:t xml:space="preserve">). The 2018/2019 wet season extended from the start of the project (October 2018) to mid-May 2019, where the period from late January (event 8, Table</w:t>
      </w:r>
      <w:r>
        <w:t xml:space="preserve"> </w:t>
      </w:r>
      <w:r>
        <w:t xml:space="preserve">11</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11</w:t>
      </w:r>
      <w:r>
        <w:t xml:space="preserve">)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w:t>
      </w:r>
      <w:r>
        <w:t xml:space="preserve"> </w:t>
      </w:r>
      <w:r>
        <w:t xml:space="preserve">16</w:t>
      </w:r>
      <w:r>
        <w:t xml:space="preserve">).</w:t>
      </w:r>
    </w:p>
    <w:p>
      <w:pPr>
        <w:pStyle w:val="BodyText"/>
      </w:pPr>
      <w:r>
        <w:t xml:space="preserve"> </w:t>
      </w:r>
    </w:p>
    <w:p>
      <w:pPr>
        <w:pStyle w:val="CaptionedFigure"/>
      </w:pPr>
      <w:r>
        <w:drawing>
          <wp:inline>
            <wp:extent cx="5504749" cy="6422207"/>
            <wp:effectExtent b="0" l="0" r="0" t="0"/>
            <wp:docPr descr="Figure 16:  Rain events, stream response, sample collection and seasons across the Leech Water Supply Area. Dashed vertical lines indicate the start of rain events, points indicate the timing and stage of river samples collected, and pink vertical lines delineate seasons." title="" id="1" name="Picture"/>
            <a:graphic>
              <a:graphicData uri="http://schemas.openxmlformats.org/drawingml/2006/picture">
                <pic:pic>
                  <pic:nvPicPr>
                    <pic:cNvPr descr="R-outputs_UBC-forWater-MSc_HMc/figures/Ch3_Wx-stage-subbasins_megaplot_sampletype.png" id="0" name="Picture"/>
                    <pic:cNvPicPr>
                      <a:picLocks noChangeArrowheads="1" noChangeAspect="1"/>
                    </pic:cNvPicPr>
                  </pic:nvPicPr>
                  <pic:blipFill>
                    <a:blip r:embed="rId88"/>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Rain events, stream response, sample collection and seasons across the Leech Water Supply Area. Dashed vertical lines indicate the start of rain events, points indicate the timing and stage of river samples collected, and pink vertical lines delineate seasons.</w:t>
      </w:r>
    </w:p>
    <w:p>
      <w:pPr>
        <w:pStyle w:val="BodyText"/>
      </w:pPr>
      <w:r>
        <w:t xml:space="preserve"> </w:t>
      </w:r>
    </w:p>
    <w:p>
      <w:pPr>
        <w:pStyle w:val="BodyText"/>
      </w:pPr>
      <w:r>
        <w:t xml:space="preserve">Eight of the 18 rain events were captured in the 2019 water year (2018-2019 wet season), the other ten in the 2020 water year. For each calender year in the study period, major rain events’ minimum and maximum values of depth, duration and intensity were identified (Table</w:t>
      </w:r>
      <w:r>
        <w:t xml:space="preserve"> </w:t>
      </w:r>
      <w:r>
        <w:t xml:space="preserve">12</w:t>
      </w:r>
      <w:r>
        <w:t xml:space="preserve">).</w:t>
      </w:r>
    </w:p>
    <w:p>
      <w:pPr>
        <w:pStyle w:val="BodyText"/>
      </w:pPr>
      <w:r>
        <w:t xml:space="preserve"> </w:t>
      </w:r>
    </w:p>
    <w:p>
      <w:pPr>
        <w:pStyle w:val="TableCaption"/>
      </w:pPr>
      <w:r>
        <w:t xml:space="preserve">Table 12:</w:t>
      </w:r>
      <w:r>
        <w:t xml:space="preserve"> </w:t>
      </w:r>
      <w:r>
        <w:rPr>
          <w:i/>
        </w:rPr>
        <w:t xml:space="preserve">Minimum and maximum rain event values</w:t>
      </w:r>
      <w:r>
        <w:rPr>
          <w:i/>
        </w:rPr>
        <w:t xml:space="preserve"> </w:t>
      </w:r>
    </w:p>
    <w:tbl>
      <w:tblPr>
        <w:tblStyle w:val="Table"/>
        <w:tblW w:type="pct" w:w="5000.0"/>
        <w:tblLook w:firstRow="1"/>
        <w:tblCaption w:val="Table 12: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BodyText"/>
      </w:pPr>
      <w:r>
        <w:t xml:space="preserve">An intense atmospheric river event hit the LWSA January 29-31 (event 17, Table</w:t>
      </w:r>
      <w:r>
        <w:t xml:space="preserve"> </w:t>
      </w:r>
      <w:r>
        <w:t xml:space="preserve">11</w:t>
      </w:r>
      <w:r>
        <w:t xml:space="preserve">) and generated incredible flows across the Leech watershed (and across Vancouver Island and most of the south coast of BC).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LeechHead (site 3) in the form of gravel and cobble deposition, there was evidence of substantial coarse woody debris transport at ChrisCrk (site 2), and destruction to hydrologic monitoring equipment at the Leech Tunnel.</w:t>
      </w:r>
    </w:p>
    <w:p>
      <w:pPr>
        <w:pStyle w:val="BodyText"/>
      </w:pPr>
      <w:r>
        <w:t xml:space="preserve"> </w:t>
      </w:r>
    </w:p>
    <w:p>
      <w:pPr>
        <w:pStyle w:val="Heading4"/>
      </w:pPr>
      <w:bookmarkStart w:id="89" w:name="spatial-patterns-in-doc-nom"/>
      <w:r>
        <w:t xml:space="preserve">Spatial patterns in DOC &amp; NOM</w:t>
      </w:r>
      <w:bookmarkEnd w:id="89"/>
    </w:p>
    <w:p>
      <w:pPr>
        <w:pStyle w:val="FirstParagraph"/>
      </w:pPr>
      <w:r>
        <w:t xml:space="preserve">Samples with maximum DOC concentrations were captured by vertical racks at five of the six sites, except for the head of Leech River (LeechHead, site 3) where peak DOC happened to be collected as a Grab sample (Table</w:t>
      </w:r>
      <w:r>
        <w:t xml:space="preserve"> </w:t>
      </w:r>
      <w:r>
        <w:t xml:space="preserve">13</w:t>
      </w:r>
      <w:r>
        <w:t xml:space="preserve">).</w:t>
      </w:r>
    </w:p>
    <w:p>
      <w:pPr>
        <w:pStyle w:val="BodyText"/>
      </w:pPr>
      <w:r>
        <w:t xml:space="preserve"> </w:t>
      </w:r>
    </w:p>
    <w:p>
      <w:pPr>
        <w:pStyle w:val="TableCaption"/>
      </w:pPr>
      <w:r>
        <w:t xml:space="preserve">Table 13:</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3: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(CraggCrk, site 4), a mainstem river that drains the east sub-basin of the Leech watershed including Jarvis Lake and the western slopes of Survey Mountain. DOC concentration and variance at Leech River Tunnel (Tunnel, site 6) was somewhat between that at WestLeech and CraggCrk (Figure</w:t>
      </w:r>
      <w:r>
        <w:t xml:space="preserve"> </w:t>
      </w:r>
      <w:r>
        <w:t xml:space="preserve">17</w:t>
      </w:r>
      <w:r>
        <w:t xml:space="preserve">).</w:t>
      </w:r>
    </w:p>
    <w:p>
      <w:pPr>
        <w:pStyle w:val="BodyText"/>
      </w:pPr>
      <w:r>
        <w:t xml:space="preserve"> </w:t>
      </w:r>
    </w:p>
    <w:p>
      <w:pPr>
        <w:pStyle w:val="CaptionedFigure"/>
      </w:pPr>
      <w:r>
        <w:drawing>
          <wp:inline>
            <wp:extent cx="4587290" cy="3669832"/>
            <wp:effectExtent b="0" l="0" r="0" t="0"/>
            <wp:docPr descr="Figure 17: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Ch3_DOC_subbasin_boxplots.png" id="0" name="Picture"/>
                    <pic:cNvPicPr>
                      <a:picLocks noChangeArrowheads="1" noChangeAspect="1"/>
                    </pic:cNvPicPr>
                  </pic:nvPicPr>
                  <pic:blipFill>
                    <a:blip r:embed="rId9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Heading5"/>
      </w:pPr>
      <w:bookmarkStart w:id="91" w:name="seasonal-patterns-in-doc-nom"/>
      <w:r>
        <w:t xml:space="preserve">Seasonal patterns in DOC &amp; NOM</w:t>
      </w:r>
      <w:bookmarkEnd w:id="91"/>
    </w:p>
    <w:p>
      <w:pPr>
        <w:pStyle w:val="FirstParagraph"/>
      </w:pPr>
      <w:r>
        <w:t xml:space="preserve">DOC concentrations followed similar sinusoidal trends over time at each site, with amplitude of variation decreasing from upstream to downstream sites (Figure</w:t>
      </w:r>
      <w:r>
        <w:t xml:space="preserve"> </w:t>
      </w:r>
      <w:r>
        <w:t xml:space="preserve">18</w:t>
      </w:r>
      <w:r>
        <w:t xml:space="preserve">).</w:t>
      </w:r>
    </w:p>
    <w:p>
      <w:pPr>
        <w:pStyle w:val="CaptionedFigure"/>
      </w:pPr>
      <w:r>
        <w:drawing>
          <wp:inline>
            <wp:extent cx="5504749" cy="5504749"/>
            <wp:effectExtent b="0" l="0" r="0" t="0"/>
            <wp:docPr descr="Figure 18:  Trends in dissolved organic carbon concentrations over sixteen months (Oct 2018 to Feb 2020) at six sites across the Leech water supply area. Trend lines represents locally weighted smoothing (‘loess’ method of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Trends in dissolved organic carbon concentrations over sixteen months (Oct 2018 to Feb 2020) at six sites across the Leech water supply area. Trend lines represents locally weighted smoothing (</w:t>
      </w:r>
      <w:r>
        <w:rPr>
          <w:i/>
        </w:rPr>
        <w:t xml:space="preserve">‘</w:t>
      </w:r>
      <w:r>
        <w:rPr>
          <w:i/>
        </w:rPr>
        <w:t xml:space="preserve">loess</w:t>
      </w:r>
      <w:r>
        <w:rPr>
          <w:i/>
        </w:rPr>
        <w:t xml:space="preserve">’</w:t>
      </w:r>
      <w:r>
        <w:rPr>
          <w:i/>
        </w:rPr>
        <w:t xml:space="preserve"> </w:t>
      </w:r>
      <w:r>
        <w:rPr>
          <w:i/>
        </w:rPr>
        <w:t xml:space="preserve">method of local polynomial regression).</w:t>
      </w:r>
    </w:p>
    <w:p>
      <w:pPr>
        <w:pStyle w:val="BodyText"/>
      </w:pPr>
      <w:r>
        <w:t xml:space="preserve"> </w:t>
      </w:r>
    </w:p>
    <w:p>
      <w:pPr>
        <w:pStyle w:val="BodyText"/>
      </w:pPr>
      <w: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19</w:t>
      </w:r>
      <w:r>
        <w:t xml:space="preserve">.</w:t>
      </w:r>
    </w:p>
    <w:p>
      <w:pPr>
        <w:pStyle w:val="BodyText"/>
      </w:pPr>
      <w:r>
        <w:t xml:space="preserve"> </w:t>
      </w:r>
    </w:p>
    <w:p>
      <w:pPr>
        <w:pStyle w:val="CaptionedFigure"/>
      </w:pPr>
      <w:r>
        <w:drawing>
          <wp:inline>
            <wp:extent cx="4587290" cy="3669832"/>
            <wp:effectExtent b="0" l="0" r="0" t="0"/>
            <wp:docPr descr="Figure 19: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Ch3_subbasin_GvsR_WETseason-boxplot.png" id="0" name="Picture"/>
                    <pic:cNvPicPr>
                      <a:picLocks noChangeArrowheads="1" noChangeAspect="1"/>
                    </pic:cNvPicPr>
                  </pic:nvPicPr>
                  <pic:blipFill>
                    <a:blip r:embed="rId9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TableCaption"/>
      </w:pPr>
      <w:r>
        <w:t xml:space="preserve">Table 14:</w:t>
      </w:r>
      <w:r>
        <w:t xml:space="preserve"> </w:t>
      </w:r>
      <w:r>
        <w:rPr>
          <w:i/>
        </w:rPr>
        <w:t xml:space="preserve">Wet-season dissolved organic carbon concentrations by sample collection method across six monitoring sites in the LWSA.</w:t>
      </w:r>
    </w:p>
    <w:tbl>
      <w:tblPr>
        <w:tblStyle w:val="Table"/>
        <w:tblW w:type="pct" w:w="5000.0"/>
        <w:tblLook w:firstRow="1"/>
        <w:tblCaption w:val="Table 14: Wet-season dissolved organic carbon concentrations by sample collection method across six monitoring sites in the LWSA."/>
      </w:tblPr>
      <w:tblGrid>
        <w:gridCol w:w="784"/>
        <w:gridCol w:w="940"/>
        <w:gridCol w:w="1019"/>
        <w:gridCol w:w="1254"/>
        <w:gridCol w:w="1254"/>
        <w:gridCol w:w="784"/>
        <w:gridCol w:w="940"/>
        <w:gridCol w:w="94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17</w:t>
            </w:r>
          </w:p>
        </w:tc>
        <w:tc>
          <w:p>
            <w:pPr>
              <w:pStyle w:val="Compact"/>
              <w:jc w:val="right"/>
            </w:pPr>
            <w:r>
              <w:t xml:space="preserve">9.1</w:t>
            </w:r>
          </w:p>
        </w:tc>
        <w:tc>
          <w:p>
            <w:pPr>
              <w:pStyle w:val="Compact"/>
              <w:jc w:val="right"/>
            </w:pPr>
            <w:r>
              <w:t xml:space="preserve">3</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32</w:t>
            </w:r>
          </w:p>
        </w:tc>
        <w:tc>
          <w:p>
            <w:pPr>
              <w:pStyle w:val="Compact"/>
              <w:jc w:val="right"/>
            </w:pPr>
            <w:r>
              <w:t xml:space="preserve">10.1</w:t>
            </w:r>
          </w:p>
        </w:tc>
        <w:tc>
          <w:p>
            <w:pPr>
              <w:pStyle w:val="Compact"/>
              <w:jc w:val="right"/>
            </w:pPr>
            <w:r>
              <w:t xml:space="preserve">4</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15</w:t>
            </w:r>
          </w:p>
        </w:tc>
        <w:tc>
          <w:p>
            <w:pPr>
              <w:pStyle w:val="Compact"/>
              <w:jc w:val="right"/>
            </w:pPr>
            <w:r>
              <w:t xml:space="preserve">3.6</w:t>
            </w:r>
          </w:p>
        </w:tc>
        <w:tc>
          <w:p>
            <w:pPr>
              <w:pStyle w:val="Compact"/>
              <w:jc w:val="right"/>
            </w:pPr>
            <w:r>
              <w:t xml:space="preserve">2</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27</w:t>
            </w:r>
          </w:p>
        </w:tc>
        <w:tc>
          <w:p>
            <w:pPr>
              <w:pStyle w:val="Compact"/>
              <w:jc w:val="right"/>
            </w:pPr>
            <w:r>
              <w:t xml:space="preserve">5.3</w:t>
            </w:r>
          </w:p>
        </w:tc>
        <w:tc>
          <w:p>
            <w:pPr>
              <w:pStyle w:val="Compact"/>
              <w:jc w:val="right"/>
            </w:pPr>
            <w:r>
              <w:t xml:space="preserve">2</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w:t>
            </w:r>
          </w:p>
        </w:tc>
        <w:tc>
          <w:p>
            <w:pPr>
              <w:pStyle w:val="Compact"/>
              <w:jc w:val="right"/>
            </w:pPr>
            <w:r>
              <w:t xml:space="preserve">2</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30</w:t>
            </w:r>
          </w:p>
        </w:tc>
        <w:tc>
          <w:p>
            <w:pPr>
              <w:pStyle w:val="Compact"/>
              <w:jc w:val="right"/>
            </w:pPr>
            <w:r>
              <w:t xml:space="preserve">7.3</w:t>
            </w:r>
          </w:p>
        </w:tc>
        <w:tc>
          <w:p>
            <w:pPr>
              <w:pStyle w:val="Compact"/>
              <w:jc w:val="right"/>
            </w:pPr>
            <w:r>
              <w:t xml:space="preserve">2</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26</w:t>
            </w:r>
          </w:p>
        </w:tc>
        <w:tc>
          <w:p>
            <w:pPr>
              <w:pStyle w:val="Compact"/>
              <w:jc w:val="right"/>
            </w:pPr>
            <w:r>
              <w:t xml:space="preserve">4.1</w:t>
            </w:r>
          </w:p>
        </w:tc>
        <w:tc>
          <w:p>
            <w:pPr>
              <w:pStyle w:val="Compact"/>
              <w:jc w:val="right"/>
            </w:pPr>
            <w:r>
              <w:t xml:space="preserve">1</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37</w:t>
            </w:r>
          </w:p>
        </w:tc>
        <w:tc>
          <w:p>
            <w:pPr>
              <w:pStyle w:val="Compact"/>
              <w:jc w:val="right"/>
            </w:pPr>
            <w:r>
              <w:t xml:space="preserve">5.2</w:t>
            </w:r>
          </w:p>
        </w:tc>
        <w:tc>
          <w:p>
            <w:pPr>
              <w:pStyle w:val="Compact"/>
              <w:jc w:val="right"/>
            </w:pPr>
            <w:r>
              <w:t xml:space="preserve">1</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17</w:t>
            </w:r>
          </w:p>
        </w:tc>
        <w:tc>
          <w:p>
            <w:pPr>
              <w:pStyle w:val="Compact"/>
              <w:jc w:val="right"/>
            </w:pPr>
            <w:r>
              <w:t xml:space="preserve">4.1</w:t>
            </w:r>
          </w:p>
        </w:tc>
        <w:tc>
          <w:p>
            <w:pPr>
              <w:pStyle w:val="Compact"/>
              <w:jc w:val="right"/>
            </w:pPr>
            <w:r>
              <w:t xml:space="preserve">2</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43</w:t>
            </w:r>
          </w:p>
        </w:tc>
        <w:tc>
          <w:p>
            <w:pPr>
              <w:pStyle w:val="Compact"/>
              <w:jc w:val="right"/>
            </w:pPr>
            <w:r>
              <w:t xml:space="preserve">6.3</w:t>
            </w:r>
          </w:p>
        </w:tc>
        <w:tc>
          <w:p>
            <w:pPr>
              <w:pStyle w:val="Compact"/>
              <w:jc w:val="right"/>
            </w:pPr>
            <w:r>
              <w:t xml:space="preserve">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4.3</w:t>
            </w:r>
          </w:p>
        </w:tc>
        <w:tc>
          <w:p>
            <w:pPr>
              <w:pStyle w:val="Compact"/>
              <w:jc w:val="right"/>
            </w:pPr>
            <w:r>
              <w:t xml:space="preserve">1</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34</w:t>
            </w:r>
          </w:p>
        </w:tc>
        <w:tc>
          <w:p>
            <w:pPr>
              <w:pStyle w:val="Compact"/>
              <w:jc w:val="right"/>
            </w:pPr>
            <w:r>
              <w:t xml:space="preserve">5.4</w:t>
            </w:r>
          </w:p>
        </w:tc>
        <w:tc>
          <w:p>
            <w:pPr>
              <w:pStyle w:val="Compact"/>
              <w:jc w:val="right"/>
            </w:pPr>
            <w:r>
              <w:t xml:space="preserve">2</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r>
        <w:tc>
          <w:p>
            <w:pPr>
              <w:pStyle w:val="Compact"/>
              <w:jc w:val="left"/>
            </w:pPr>
            <w:r>
              <w:t xml:space="preserve">All</w:t>
            </w:r>
          </w:p>
        </w:tc>
        <w:tc>
          <w:p>
            <w:pPr>
              <w:pStyle w:val="Compact"/>
              <w:jc w:val="left"/>
            </w:pPr>
            <w:r>
              <w:t xml:space="preserve">Grab</w:t>
            </w:r>
          </w:p>
        </w:tc>
        <w:tc>
          <w:p>
            <w:pPr>
              <w:pStyle w:val="Compact"/>
              <w:jc w:val="right"/>
            </w:pPr>
            <w:r>
              <w:t xml:space="preserve">114</w:t>
            </w:r>
          </w:p>
        </w:tc>
        <w:tc>
          <w:p>
            <w:pPr>
              <w:pStyle w:val="Compact"/>
              <w:jc w:val="right"/>
            </w:pPr>
            <w:r>
              <w:t xml:space="preserve">5.2</w:t>
            </w:r>
          </w:p>
        </w:tc>
        <w:tc>
          <w:p>
            <w:pPr>
              <w:pStyle w:val="Compact"/>
              <w:jc w:val="right"/>
            </w:pPr>
            <w:r>
              <w:t xml:space="preserve">3</w:t>
            </w:r>
          </w:p>
        </w:tc>
        <w:tc>
          <w:p>
            <w:pPr>
              <w:pStyle w:val="Compact"/>
              <w:jc w:val="right"/>
            </w:pPr>
            <w:r>
              <w:t xml:space="preserve">52</w:t>
            </w:r>
          </w:p>
        </w:tc>
        <w:tc>
          <w:p>
            <w:pPr>
              <w:pStyle w:val="Compact"/>
              <w:jc w:val="right"/>
            </w:pPr>
            <w:r>
              <w:t xml:space="preserve">1.84</w:t>
            </w:r>
          </w:p>
        </w:tc>
        <w:tc>
          <w:p>
            <w:pPr>
              <w:pStyle w:val="Compact"/>
              <w:jc w:val="right"/>
            </w:pPr>
            <w:r>
              <w:t xml:space="preserve">18.74</w:t>
            </w:r>
          </w:p>
        </w:tc>
      </w:tr>
      <w:tr>
        <w:tc>
          <w:p>
            <w:pPr>
              <w:pStyle w:val="Compact"/>
              <w:jc w:val="left"/>
            </w:pPr>
            <w:r>
              <w:t xml:space="preserve">All</w:t>
            </w:r>
          </w:p>
        </w:tc>
        <w:tc>
          <w:p>
            <w:pPr>
              <w:pStyle w:val="Compact"/>
              <w:jc w:val="left"/>
            </w:pPr>
            <w:r>
              <w:t xml:space="preserve">Rack</w:t>
            </w:r>
          </w:p>
        </w:tc>
        <w:tc>
          <w:p>
            <w:pPr>
              <w:pStyle w:val="Compact"/>
              <w:jc w:val="right"/>
            </w:pPr>
            <w:r>
              <w:t xml:space="preserve">203</w:t>
            </w:r>
          </w:p>
        </w:tc>
        <w:tc>
          <w:p>
            <w:pPr>
              <w:pStyle w:val="Compact"/>
              <w:jc w:val="right"/>
            </w:pPr>
            <w:r>
              <w:t xml:space="preserve">6.6</w:t>
            </w:r>
          </w:p>
        </w:tc>
        <w:tc>
          <w:p>
            <w:pPr>
              <w:pStyle w:val="Compact"/>
              <w:jc w:val="right"/>
            </w:pPr>
            <w:r>
              <w:t xml:space="preserve">3</w:t>
            </w:r>
          </w:p>
        </w:tc>
        <w:tc>
          <w:p>
            <w:pPr>
              <w:pStyle w:val="Compact"/>
              <w:jc w:val="right"/>
            </w:pPr>
            <w:r>
              <w:t xml:space="preserve">43</w:t>
            </w:r>
          </w:p>
        </w:tc>
        <w:tc>
          <w:p>
            <w:pPr>
              <w:pStyle w:val="Compact"/>
              <w:jc w:val="right"/>
            </w:pPr>
            <w:r>
              <w:t xml:space="preserve">1.94</w:t>
            </w:r>
          </w:p>
        </w:tc>
        <w:tc>
          <w:p>
            <w:pPr>
              <w:pStyle w:val="Compact"/>
              <w:jc w:val="right"/>
            </w:pPr>
            <w:r>
              <w:t xml:space="preserve">19.07</w:t>
            </w:r>
          </w:p>
        </w:tc>
      </w:tr>
    </w:tbl>
    <w:p>
      <w:pPr>
        <w:pStyle w:val="BodyText"/>
      </w:pPr>
      <w:r>
        <w:t xml:space="preserve"> </w:t>
      </w:r>
    </w:p>
    <w:p>
      <w:pPr>
        <w:pStyle w:val="BodyText"/>
      </w:pPr>
      <w:r>
        <w:t xml:space="preserve">More samples were collected over the wet seasons than during the dry season due to event-based sampling and the relatively longer wet season period compared to dry (Table</w:t>
      </w:r>
      <w:r>
        <w:t xml:space="preserve"> </w:t>
      </w:r>
      <w:r>
        <w:t xml:space="preserve">15</w:t>
      </w:r>
      <w:r>
        <w:t xml:space="preserve">). Despite seasonal sample count differences, interesting spatial differences emerged when sample results were grouped by season (Figure</w:t>
      </w:r>
      <w:r>
        <w:t xml:space="preserve"> </w:t>
      </w:r>
      <w:r>
        <w:t xml:space="preserve">20</w:t>
      </w:r>
      <w:r>
        <w:t xml:space="preserve">). NOM molecular character was judged through a combination of specific UV-absorbance at 254 nm (SAC</w:t>
      </w:r>
      <w:r>
        <w:rPr>
          <w:vertAlign w:val="subscript"/>
        </w:rPr>
        <w:t xml:space="preserve">254</w:t>
      </w:r>
      <w:r>
        <w:t xml:space="preserve">, an indicator of chromophoric NOM) and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The quotient E</w:t>
      </w:r>
      <w:r>
        <w:rPr>
          <w:vertAlign w:val="subscript"/>
        </w:rPr>
        <w:t xml:space="preserve">2</w:t>
      </w:r>
      <w:r>
        <w:t xml:space="preserve">:E</w:t>
      </w:r>
      <w:r>
        <w:rPr>
          <w:vertAlign w:val="subscript"/>
        </w:rPr>
        <w:t xml:space="preserve">3</w:t>
      </w:r>
      <w:r>
        <w:t xml:space="preserve"> </w:t>
      </w:r>
      <w:r>
        <w:t xml:space="preserve">(unitless) is inversely proportional to aromaticity and/or molecular weight of aqueous NOM.</w:t>
      </w:r>
    </w:p>
    <w:p>
      <w:pPr>
        <w:pStyle w:val="BodyText"/>
      </w:pPr>
      <w:r>
        <w:t xml:space="preserve"> </w:t>
      </w:r>
    </w:p>
    <w:p>
      <w:pPr>
        <w:pStyle w:val="TableCaption"/>
      </w:pPr>
      <w:r>
        <w:t xml:space="preserve">Table 15:</w:t>
      </w:r>
      <w:r>
        <w:t xml:space="preserve"> </w:t>
      </w:r>
      <w:r>
        <w:rPr>
          <w:i/>
        </w:rPr>
        <w:t xml:space="preserve">Seasonal comparison of sample results by monitoring site</w:t>
      </w:r>
    </w:p>
    <w:tbl>
      <w:tblPr>
        <w:tblStyle w:val="Table"/>
        <w:tblW w:type="pct" w:w="5000.0"/>
        <w:tblLook w:firstRow="1"/>
        <w:tblCaption w:val="Table 15: Seasonal comparison of sample results by monitoring site"/>
      </w:tblPr>
      <w:tblGrid>
        <w:gridCol w:w="586"/>
        <w:gridCol w:w="410"/>
        <w:gridCol w:w="352"/>
        <w:gridCol w:w="938"/>
        <w:gridCol w:w="410"/>
        <w:gridCol w:w="1290"/>
        <w:gridCol w:w="410"/>
        <w:gridCol w:w="1877"/>
        <w:gridCol w:w="410"/>
        <w:gridCol w:w="821"/>
        <w:gridCol w:w="41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r>
      <w:tr>
        <w:tc>
          <w:p>
            <w:pPr>
              <w:pStyle w:val="Compact"/>
              <w:jc w:val="left"/>
            </w:pPr>
            <w:r>
              <w:t xml:space="preserve">Weeks</w:t>
            </w:r>
          </w:p>
        </w:tc>
        <w:tc>
          <w:p>
            <w:pPr>
              <w:pStyle w:val="Compact"/>
              <w:jc w:val="left"/>
            </w:pPr>
            <w:r>
              <w:t xml:space="preserve">dry</w:t>
            </w:r>
          </w:p>
        </w:tc>
        <w:tc>
          <w:p>
            <w:pPr>
              <w:pStyle w:val="Compact"/>
              <w:jc w:val="right"/>
            </w:pPr>
            <w:r>
              <w:t xml:space="preserve">5</w:t>
            </w:r>
          </w:p>
        </w:tc>
        <w:tc>
          <w:p>
            <w:pPr>
              <w:pStyle w:val="Compact"/>
              <w:jc w:val="right"/>
            </w:pPr>
            <w:r>
              <w:t xml:space="preserve">10.3</w:t>
            </w:r>
          </w:p>
        </w:tc>
        <w:tc>
          <w:p>
            <w:pPr>
              <w:pStyle w:val="Compact"/>
              <w:jc w:val="right"/>
            </w:pPr>
            <w:r>
              <w:t xml:space="preserve">2.2</w:t>
            </w:r>
          </w:p>
        </w:tc>
        <w:tc>
          <w:p>
            <w:pPr>
              <w:pStyle w:val="Compact"/>
              <w:jc w:val="right"/>
            </w:pPr>
            <w:r>
              <w:t xml:space="preserve">24.3</w:t>
            </w:r>
          </w:p>
        </w:tc>
        <w:tc>
          <w:p>
            <w:pPr>
              <w:pStyle w:val="Compact"/>
              <w:jc w:val="right"/>
            </w:pPr>
            <w:r>
              <w:t xml:space="preserve">4.9</w:t>
            </w:r>
          </w:p>
        </w:tc>
        <w:tc>
          <w:p>
            <w:pPr>
              <w:pStyle w:val="Compact"/>
              <w:jc w:val="right"/>
            </w:pPr>
            <w:r>
              <w:t xml:space="preserve">2.2</w:t>
            </w:r>
          </w:p>
        </w:tc>
        <w:tc>
          <w:p>
            <w:pPr>
              <w:pStyle w:val="Compact"/>
              <w:jc w:val="right"/>
            </w:pPr>
            <w:r>
              <w:t xml:space="preserve">0.1</w:t>
            </w:r>
          </w:p>
        </w:tc>
        <w:tc>
          <w:p>
            <w:pPr>
              <w:pStyle w:val="Compact"/>
              <w:jc w:val="right"/>
            </w:pPr>
            <w:r>
              <w:t xml:space="preserve">4.01</w:t>
            </w:r>
          </w:p>
        </w:tc>
        <w:tc>
          <w:p>
            <w:pPr>
              <w:pStyle w:val="Compact"/>
              <w:jc w:val="right"/>
            </w:pPr>
            <w:r>
              <w:t xml:space="preserve">0.30</w:t>
            </w:r>
          </w:p>
        </w:tc>
      </w:tr>
      <w:tr>
        <w:tc>
          <w:p>
            <w:pPr>
              <w:pStyle w:val="Compact"/>
              <w:jc w:val="left"/>
            </w:pPr>
            <w:r>
              <w:t xml:space="preserve">Weeks</w:t>
            </w:r>
          </w:p>
        </w:tc>
        <w:tc>
          <w:p>
            <w:pPr>
              <w:pStyle w:val="Compact"/>
              <w:jc w:val="left"/>
            </w:pPr>
            <w:r>
              <w:t xml:space="preserve">wet</w:t>
            </w:r>
          </w:p>
        </w:tc>
        <w:tc>
          <w:p>
            <w:pPr>
              <w:pStyle w:val="Compact"/>
              <w:jc w:val="right"/>
            </w:pPr>
            <w:r>
              <w:t xml:space="preserve">44</w:t>
            </w:r>
          </w:p>
        </w:tc>
        <w:tc>
          <w:p>
            <w:pPr>
              <w:pStyle w:val="Compact"/>
              <w:jc w:val="right"/>
            </w:pPr>
            <w:r>
              <w:t xml:space="preserve">9.9</w:t>
            </w:r>
          </w:p>
        </w:tc>
        <w:tc>
          <w:p>
            <w:pPr>
              <w:pStyle w:val="Compact"/>
              <w:jc w:val="right"/>
            </w:pPr>
            <w:r>
              <w:t xml:space="preserve">3.5</w:t>
            </w:r>
          </w:p>
        </w:tc>
        <w:tc>
          <w:p>
            <w:pPr>
              <w:pStyle w:val="Compact"/>
              <w:jc w:val="right"/>
            </w:pPr>
            <w:r>
              <w:t xml:space="preserve">31.2</w:t>
            </w:r>
          </w:p>
        </w:tc>
        <w:tc>
          <w:p>
            <w:pPr>
              <w:pStyle w:val="Compact"/>
              <w:jc w:val="right"/>
            </w:pPr>
            <w:r>
              <w:t xml:space="preserve">8.7</w:t>
            </w:r>
          </w:p>
        </w:tc>
        <w:tc>
          <w:p>
            <w:pPr>
              <w:pStyle w:val="Compact"/>
              <w:jc w:val="right"/>
            </w:pPr>
            <w:r>
              <w:t xml:space="preserve">3.6</w:t>
            </w:r>
          </w:p>
        </w:tc>
        <w:tc>
          <w:p>
            <w:pPr>
              <w:pStyle w:val="Compact"/>
              <w:jc w:val="right"/>
            </w:pPr>
            <w:r>
              <w:t xml:space="preserve">0.8</w:t>
            </w:r>
          </w:p>
        </w:tc>
        <w:tc>
          <w:p>
            <w:pPr>
              <w:pStyle w:val="Compact"/>
              <w:jc w:val="right"/>
            </w:pPr>
            <w:r>
              <w:t xml:space="preserve">4.18</w:t>
            </w:r>
          </w:p>
        </w:tc>
        <w:tc>
          <w:p>
            <w:pPr>
              <w:pStyle w:val="Compact"/>
              <w:jc w:val="right"/>
            </w:pPr>
            <w:r>
              <w:t xml:space="preserve">0.61</w:t>
            </w:r>
          </w:p>
        </w:tc>
      </w:tr>
      <w:tr>
        <w:tc>
          <w:p>
            <w:pPr>
              <w:pStyle w:val="Compact"/>
              <w:jc w:val="left"/>
            </w:pPr>
            <w:r>
              <w:t xml:space="preserve">ChrisCrk</w:t>
            </w:r>
          </w:p>
        </w:tc>
        <w:tc>
          <w:p>
            <w:pPr>
              <w:pStyle w:val="Compact"/>
              <w:jc w:val="left"/>
            </w:pPr>
            <w:r>
              <w:t xml:space="preserve">dry</w:t>
            </w:r>
          </w:p>
        </w:tc>
        <w:tc>
          <w:p>
            <w:pPr>
              <w:pStyle w:val="Compact"/>
              <w:jc w:val="right"/>
            </w:pPr>
            <w:r>
              <w:t xml:space="preserve">5</w:t>
            </w:r>
          </w:p>
        </w:tc>
        <w:tc>
          <w:p>
            <w:pPr>
              <w:pStyle w:val="Compact"/>
              <w:jc w:val="right"/>
            </w:pPr>
            <w:r>
              <w:t xml:space="preserve">5.9</w:t>
            </w:r>
          </w:p>
        </w:tc>
        <w:tc>
          <w:p>
            <w:pPr>
              <w:pStyle w:val="Compact"/>
              <w:jc w:val="right"/>
            </w:pPr>
            <w:r>
              <w:t xml:space="preserve">2.4</w:t>
            </w:r>
          </w:p>
        </w:tc>
        <w:tc>
          <w:p>
            <w:pPr>
              <w:pStyle w:val="Compact"/>
              <w:jc w:val="right"/>
            </w:pPr>
            <w:r>
              <w:t xml:space="preserve">6.8</w:t>
            </w:r>
          </w:p>
        </w:tc>
        <w:tc>
          <w:p>
            <w:pPr>
              <w:pStyle w:val="Compact"/>
              <w:jc w:val="right"/>
            </w:pPr>
            <w:r>
              <w:t xml:space="preserve">1.3</w:t>
            </w:r>
          </w:p>
        </w:tc>
        <w:tc>
          <w:p>
            <w:pPr>
              <w:pStyle w:val="Compact"/>
              <w:jc w:val="right"/>
            </w:pPr>
            <w:r>
              <w:t xml:space="preserve">1.1</w:t>
            </w:r>
          </w:p>
        </w:tc>
        <w:tc>
          <w:p>
            <w:pPr>
              <w:pStyle w:val="Compact"/>
              <w:jc w:val="right"/>
            </w:pPr>
            <w:r>
              <w:t xml:space="preserve">0.2</w:t>
            </w:r>
          </w:p>
        </w:tc>
        <w:tc>
          <w:p>
            <w:pPr>
              <w:pStyle w:val="Compact"/>
              <w:jc w:val="right"/>
            </w:pPr>
            <w:r>
              <w:t xml:space="preserve">4.52</w:t>
            </w:r>
          </w:p>
        </w:tc>
        <w:tc>
          <w:p>
            <w:pPr>
              <w:pStyle w:val="Compact"/>
              <w:jc w:val="right"/>
            </w:pPr>
            <w:r>
              <w:t xml:space="preserve">0.06</w:t>
            </w:r>
          </w:p>
        </w:tc>
      </w:tr>
      <w:tr>
        <w:tc>
          <w:p>
            <w:pPr>
              <w:pStyle w:val="Compact"/>
              <w:jc w:val="left"/>
            </w:pPr>
            <w:r>
              <w:t xml:space="preserve">ChrisCrk</w:t>
            </w:r>
          </w:p>
        </w:tc>
        <w:tc>
          <w:p>
            <w:pPr>
              <w:pStyle w:val="Compact"/>
              <w:jc w:val="left"/>
            </w:pPr>
            <w:r>
              <w:t xml:space="preserve">wet</w:t>
            </w:r>
          </w:p>
        </w:tc>
        <w:tc>
          <w:p>
            <w:pPr>
              <w:pStyle w:val="Compact"/>
              <w:jc w:val="right"/>
            </w:pPr>
            <w:r>
              <w:t xml:space="preserve">37</w:t>
            </w:r>
          </w:p>
        </w:tc>
        <w:tc>
          <w:p>
            <w:pPr>
              <w:pStyle w:val="Compact"/>
              <w:jc w:val="right"/>
            </w:pPr>
            <w:r>
              <w:t xml:space="preserve">4.8</w:t>
            </w:r>
          </w:p>
        </w:tc>
        <w:tc>
          <w:p>
            <w:pPr>
              <w:pStyle w:val="Compact"/>
              <w:jc w:val="right"/>
            </w:pPr>
            <w:r>
              <w:t xml:space="preserve">2.0</w:t>
            </w:r>
          </w:p>
        </w:tc>
        <w:tc>
          <w:p>
            <w:pPr>
              <w:pStyle w:val="Compact"/>
              <w:jc w:val="right"/>
            </w:pPr>
            <w:r>
              <w:t xml:space="preserve">14.8</w:t>
            </w:r>
          </w:p>
        </w:tc>
        <w:tc>
          <w:p>
            <w:pPr>
              <w:pStyle w:val="Compact"/>
              <w:jc w:val="right"/>
            </w:pPr>
            <w:r>
              <w:t xml:space="preserve">6.6</w:t>
            </w:r>
          </w:p>
        </w:tc>
        <w:tc>
          <w:p>
            <w:pPr>
              <w:pStyle w:val="Compact"/>
              <w:jc w:val="right"/>
            </w:pPr>
            <w:r>
              <w:t xml:space="preserve">3.7</w:t>
            </w:r>
          </w:p>
        </w:tc>
        <w:tc>
          <w:p>
            <w:pPr>
              <w:pStyle w:val="Compact"/>
              <w:jc w:val="right"/>
            </w:pPr>
            <w:r>
              <w:t xml:space="preserve">1.1</w:t>
            </w:r>
          </w:p>
        </w:tc>
        <w:tc>
          <w:p>
            <w:pPr>
              <w:pStyle w:val="Compact"/>
              <w:jc w:val="right"/>
            </w:pPr>
            <w:r>
              <w:t xml:space="preserve">4.41</w:t>
            </w:r>
          </w:p>
        </w:tc>
        <w:tc>
          <w:p>
            <w:pPr>
              <w:pStyle w:val="Compact"/>
              <w:jc w:val="right"/>
            </w:pPr>
            <w:r>
              <w:t xml:space="preserve">0.25</w:t>
            </w:r>
          </w:p>
        </w:tc>
      </w:tr>
      <w:tr>
        <w:tc>
          <w:p>
            <w:pPr>
              <w:pStyle w:val="Compact"/>
              <w:jc w:val="left"/>
            </w:pPr>
            <w:r>
              <w:t xml:space="preserve">LeechHead</w:t>
            </w:r>
          </w:p>
        </w:tc>
        <w:tc>
          <w:p>
            <w:pPr>
              <w:pStyle w:val="Compact"/>
              <w:jc w:val="left"/>
            </w:pPr>
            <w:r>
              <w:t xml:space="preserve">dry</w:t>
            </w:r>
          </w:p>
        </w:tc>
        <w:tc>
          <w:p>
            <w:pPr>
              <w:pStyle w:val="Compact"/>
              <w:jc w:val="right"/>
            </w:pPr>
            <w:r>
              <w:t xml:space="preserve">6</w:t>
            </w:r>
          </w:p>
        </w:tc>
        <w:tc>
          <w:p>
            <w:pPr>
              <w:pStyle w:val="Compact"/>
              <w:jc w:val="right"/>
            </w:pPr>
            <w:r>
              <w:t xml:space="preserve">6.1</w:t>
            </w:r>
          </w:p>
        </w:tc>
        <w:tc>
          <w:p>
            <w:pPr>
              <w:pStyle w:val="Compact"/>
              <w:jc w:val="right"/>
            </w:pPr>
            <w:r>
              <w:t xml:space="preserve">1.1</w:t>
            </w:r>
          </w:p>
        </w:tc>
        <w:tc>
          <w:p>
            <w:pPr>
              <w:pStyle w:val="Compact"/>
              <w:jc w:val="right"/>
            </w:pPr>
            <w:r>
              <w:t xml:space="preserve">7.5</w:t>
            </w:r>
          </w:p>
        </w:tc>
        <w:tc>
          <w:p>
            <w:pPr>
              <w:pStyle w:val="Compact"/>
              <w:jc w:val="right"/>
            </w:pPr>
            <w:r>
              <w:t xml:space="preserve">0.5</w:t>
            </w:r>
          </w:p>
        </w:tc>
        <w:tc>
          <w:p>
            <w:pPr>
              <w:pStyle w:val="Compact"/>
              <w:jc w:val="right"/>
            </w:pPr>
            <w:r>
              <w:t xml:space="preserve">1.2</w:t>
            </w:r>
          </w:p>
        </w:tc>
        <w:tc>
          <w:p>
            <w:pPr>
              <w:pStyle w:val="Compact"/>
              <w:jc w:val="right"/>
            </w:pPr>
            <w:r>
              <w:t xml:space="preserve">0.0</w:t>
            </w:r>
          </w:p>
        </w:tc>
        <w:tc>
          <w:p>
            <w:pPr>
              <w:pStyle w:val="Compact"/>
              <w:jc w:val="right"/>
            </w:pPr>
            <w:r>
              <w:t xml:space="preserve">4.41</w:t>
            </w:r>
          </w:p>
        </w:tc>
        <w:tc>
          <w:p>
            <w:pPr>
              <w:pStyle w:val="Compact"/>
              <w:jc w:val="right"/>
            </w:pPr>
            <w:r>
              <w:t xml:space="preserve">0.04</w:t>
            </w:r>
          </w:p>
        </w:tc>
      </w:tr>
      <w:tr>
        <w:tc>
          <w:p>
            <w:pPr>
              <w:pStyle w:val="Compact"/>
              <w:jc w:val="left"/>
            </w:pPr>
            <w:r>
              <w:t xml:space="preserve">LeechHead</w:t>
            </w:r>
          </w:p>
        </w:tc>
        <w:tc>
          <w:p>
            <w:pPr>
              <w:pStyle w:val="Compact"/>
              <w:jc w:val="left"/>
            </w:pPr>
            <w:r>
              <w:t xml:space="preserve">wet</w:t>
            </w:r>
          </w:p>
        </w:tc>
        <w:tc>
          <w:p>
            <w:pPr>
              <w:pStyle w:val="Compact"/>
              <w:jc w:val="right"/>
            </w:pPr>
            <w:r>
              <w:t xml:space="preserve">38</w:t>
            </w:r>
          </w:p>
        </w:tc>
        <w:tc>
          <w:p>
            <w:pPr>
              <w:pStyle w:val="Compact"/>
              <w:jc w:val="right"/>
            </w:pPr>
            <w:r>
              <w:t xml:space="preserve">7.3</w:t>
            </w:r>
          </w:p>
        </w:tc>
        <w:tc>
          <w:p>
            <w:pPr>
              <w:pStyle w:val="Compact"/>
              <w:jc w:val="right"/>
            </w:pPr>
            <w:r>
              <w:t xml:space="preserve">1.8</w:t>
            </w:r>
          </w:p>
        </w:tc>
        <w:tc>
          <w:p>
            <w:pPr>
              <w:pStyle w:val="Compact"/>
              <w:jc w:val="right"/>
            </w:pPr>
            <w:r>
              <w:t xml:space="preserve">24.5</w:t>
            </w:r>
          </w:p>
        </w:tc>
        <w:tc>
          <w:p>
            <w:pPr>
              <w:pStyle w:val="Compact"/>
              <w:jc w:val="right"/>
            </w:pPr>
            <w:r>
              <w:t xml:space="preserve">4.3</w:t>
            </w:r>
          </w:p>
        </w:tc>
        <w:tc>
          <w:p>
            <w:pPr>
              <w:pStyle w:val="Compact"/>
              <w:jc w:val="right"/>
            </w:pPr>
            <w:r>
              <w:t xml:space="preserve">3.9</w:t>
            </w:r>
          </w:p>
        </w:tc>
        <w:tc>
          <w:p>
            <w:pPr>
              <w:pStyle w:val="Compact"/>
              <w:jc w:val="right"/>
            </w:pPr>
            <w:r>
              <w:t xml:space="preserve">0.9</w:t>
            </w:r>
          </w:p>
        </w:tc>
        <w:tc>
          <w:p>
            <w:pPr>
              <w:pStyle w:val="Compact"/>
              <w:jc w:val="right"/>
            </w:pPr>
            <w:r>
              <w:t xml:space="preserve">4.38</w:t>
            </w:r>
          </w:p>
        </w:tc>
        <w:tc>
          <w:p>
            <w:pPr>
              <w:pStyle w:val="Compact"/>
              <w:jc w:val="right"/>
            </w:pPr>
            <w:r>
              <w:t xml:space="preserve">0.14</w:t>
            </w:r>
          </w:p>
        </w:tc>
      </w:tr>
      <w:tr>
        <w:tc>
          <w:p>
            <w:pPr>
              <w:pStyle w:val="Compact"/>
              <w:jc w:val="left"/>
            </w:pPr>
            <w:r>
              <w:t xml:space="preserve">CraggCrk</w:t>
            </w:r>
          </w:p>
        </w:tc>
        <w:tc>
          <w:p>
            <w:pPr>
              <w:pStyle w:val="Compact"/>
              <w:jc w:val="left"/>
            </w:pPr>
            <w:r>
              <w:t xml:space="preserve">dry</w:t>
            </w:r>
          </w:p>
        </w:tc>
        <w:tc>
          <w:p>
            <w:pPr>
              <w:pStyle w:val="Compact"/>
              <w:jc w:val="right"/>
            </w:pPr>
            <w:r>
              <w:t xml:space="preserve">6</w:t>
            </w:r>
          </w:p>
        </w:tc>
        <w:tc>
          <w:p>
            <w:pPr>
              <w:pStyle w:val="Compact"/>
              <w:jc w:val="right"/>
            </w:pPr>
            <w:r>
              <w:t xml:space="preserve">4.2</w:t>
            </w:r>
          </w:p>
        </w:tc>
        <w:tc>
          <w:p>
            <w:pPr>
              <w:pStyle w:val="Compact"/>
              <w:jc w:val="right"/>
            </w:pPr>
            <w:r>
              <w:t xml:space="preserve">1.3</w:t>
            </w:r>
          </w:p>
        </w:tc>
        <w:tc>
          <w:p>
            <w:pPr>
              <w:pStyle w:val="Compact"/>
              <w:jc w:val="right"/>
            </w:pPr>
            <w:r>
              <w:t xml:space="preserve">5.1</w:t>
            </w:r>
          </w:p>
        </w:tc>
        <w:tc>
          <w:p>
            <w:pPr>
              <w:pStyle w:val="Compact"/>
              <w:jc w:val="right"/>
            </w:pPr>
            <w:r>
              <w:t xml:space="preserve">0.4</w:t>
            </w:r>
          </w:p>
        </w:tc>
        <w:tc>
          <w:p>
            <w:pPr>
              <w:pStyle w:val="Compact"/>
              <w:jc w:val="right"/>
            </w:pPr>
            <w:r>
              <w:t xml:space="preserve">1.2</w:t>
            </w:r>
          </w:p>
        </w:tc>
        <w:tc>
          <w:p>
            <w:pPr>
              <w:pStyle w:val="Compact"/>
              <w:jc w:val="right"/>
            </w:pPr>
            <w:r>
              <w:t xml:space="preserve">0.1</w:t>
            </w:r>
          </w:p>
        </w:tc>
        <w:tc>
          <w:p>
            <w:pPr>
              <w:pStyle w:val="Compact"/>
              <w:jc w:val="right"/>
            </w:pPr>
            <w:r>
              <w:t xml:space="preserve">4.42</w:t>
            </w:r>
          </w:p>
        </w:tc>
        <w:tc>
          <w:p>
            <w:pPr>
              <w:pStyle w:val="Compact"/>
              <w:jc w:val="right"/>
            </w:pPr>
            <w:r>
              <w:t xml:space="preserve">0.05</w:t>
            </w:r>
          </w:p>
        </w:tc>
      </w:tr>
      <w:tr>
        <w:tc>
          <w:p>
            <w:pPr>
              <w:pStyle w:val="Compact"/>
              <w:jc w:val="left"/>
            </w:pPr>
            <w:r>
              <w:t xml:space="preserve">CraggCrk</w:t>
            </w:r>
          </w:p>
        </w:tc>
        <w:tc>
          <w:p>
            <w:pPr>
              <w:pStyle w:val="Compact"/>
              <w:jc w:val="left"/>
            </w:pPr>
            <w:r>
              <w:t xml:space="preserve">wet</w:t>
            </w:r>
          </w:p>
        </w:tc>
        <w:tc>
          <w:p>
            <w:pPr>
              <w:pStyle w:val="Compact"/>
              <w:jc w:val="right"/>
            </w:pPr>
            <w:r>
              <w:t xml:space="preserve">55</w:t>
            </w:r>
          </w:p>
        </w:tc>
        <w:tc>
          <w:p>
            <w:pPr>
              <w:pStyle w:val="Compact"/>
              <w:jc w:val="right"/>
            </w:pPr>
            <w:r>
              <w:t xml:space="preserve">4.8</w:t>
            </w:r>
          </w:p>
        </w:tc>
        <w:tc>
          <w:p>
            <w:pPr>
              <w:pStyle w:val="Compact"/>
              <w:jc w:val="right"/>
            </w:pPr>
            <w:r>
              <w:t xml:space="preserve">1.6</w:t>
            </w:r>
          </w:p>
        </w:tc>
        <w:tc>
          <w:p>
            <w:pPr>
              <w:pStyle w:val="Compact"/>
              <w:jc w:val="right"/>
            </w:pPr>
            <w:r>
              <w:t xml:space="preserve">15.0</w:t>
            </w:r>
          </w:p>
        </w:tc>
        <w:tc>
          <w:p>
            <w:pPr>
              <w:pStyle w:val="Compact"/>
              <w:jc w:val="right"/>
            </w:pPr>
            <w:r>
              <w:t xml:space="preserve">4.5</w:t>
            </w:r>
          </w:p>
        </w:tc>
        <w:tc>
          <w:p>
            <w:pPr>
              <w:pStyle w:val="Compact"/>
              <w:jc w:val="right"/>
            </w:pPr>
            <w:r>
              <w:t xml:space="preserve">3.5</w:t>
            </w:r>
          </w:p>
        </w:tc>
        <w:tc>
          <w:p>
            <w:pPr>
              <w:pStyle w:val="Compact"/>
              <w:jc w:val="right"/>
            </w:pPr>
            <w:r>
              <w:t xml:space="preserve">1.0</w:t>
            </w:r>
          </w:p>
        </w:tc>
        <w:tc>
          <w:p>
            <w:pPr>
              <w:pStyle w:val="Compact"/>
              <w:jc w:val="right"/>
            </w:pPr>
            <w:r>
              <w:t xml:space="preserve">4.60</w:t>
            </w:r>
          </w:p>
        </w:tc>
        <w:tc>
          <w:p>
            <w:pPr>
              <w:pStyle w:val="Compact"/>
              <w:jc w:val="right"/>
            </w:pPr>
            <w:r>
              <w:t xml:space="preserve">0.23</w:t>
            </w:r>
          </w:p>
        </w:tc>
      </w:tr>
      <w:tr>
        <w:tc>
          <w:p>
            <w:pPr>
              <w:pStyle w:val="Compact"/>
              <w:jc w:val="left"/>
            </w:pPr>
            <w:r>
              <w:t xml:space="preserve">WestLeech</w:t>
            </w:r>
          </w:p>
        </w:tc>
        <w:tc>
          <w:p>
            <w:pPr>
              <w:pStyle w:val="Compact"/>
              <w:jc w:val="left"/>
            </w:pPr>
            <w:r>
              <w:t xml:space="preserve">dry</w:t>
            </w:r>
          </w:p>
        </w:tc>
        <w:tc>
          <w:p>
            <w:pPr>
              <w:pStyle w:val="Compact"/>
              <w:jc w:val="right"/>
            </w:pPr>
            <w:r>
              <w:t xml:space="preserve">5</w:t>
            </w:r>
          </w:p>
        </w:tc>
        <w:tc>
          <w:p>
            <w:pPr>
              <w:pStyle w:val="Compact"/>
              <w:jc w:val="right"/>
            </w:pPr>
            <w:r>
              <w:t xml:space="preserve">4.7</w:t>
            </w:r>
          </w:p>
        </w:tc>
        <w:tc>
          <w:p>
            <w:pPr>
              <w:pStyle w:val="Compact"/>
              <w:jc w:val="right"/>
            </w:pPr>
            <w:r>
              <w:t xml:space="preserve">1.7</w:t>
            </w:r>
          </w:p>
        </w:tc>
        <w:tc>
          <w:p>
            <w:pPr>
              <w:pStyle w:val="Compact"/>
              <w:jc w:val="right"/>
            </w:pPr>
            <w:r>
              <w:t xml:space="preserve">5.2</w:t>
            </w:r>
          </w:p>
        </w:tc>
        <w:tc>
          <w:p>
            <w:pPr>
              <w:pStyle w:val="Compact"/>
              <w:jc w:val="right"/>
            </w:pPr>
            <w:r>
              <w:t xml:space="preserve">0.0</w:t>
            </w:r>
          </w:p>
        </w:tc>
        <w:tc>
          <w:p>
            <w:pPr>
              <w:pStyle w:val="Compact"/>
              <w:jc w:val="right"/>
            </w:pPr>
            <w:r>
              <w:t xml:space="preserve">1.0</w:t>
            </w:r>
          </w:p>
        </w:tc>
        <w:tc>
          <w:p>
            <w:pPr>
              <w:pStyle w:val="Compact"/>
              <w:jc w:val="right"/>
            </w:pPr>
            <w:r>
              <w:t xml:space="preserve">0.1</w:t>
            </w:r>
          </w:p>
        </w:tc>
        <w:tc>
          <w:p>
            <w:pPr>
              <w:pStyle w:val="Compact"/>
              <w:jc w:val="right"/>
            </w:pPr>
            <w:r>
              <w:t xml:space="preserve">4.31</w:t>
            </w:r>
          </w:p>
        </w:tc>
        <w:tc>
          <w:p>
            <w:pPr>
              <w:pStyle w:val="Compact"/>
              <w:jc w:val="right"/>
            </w:pPr>
            <w:r>
              <w:t xml:space="preserve">0.05</w:t>
            </w:r>
          </w:p>
        </w:tc>
      </w:tr>
      <w:tr>
        <w:tc>
          <w:p>
            <w:pPr>
              <w:pStyle w:val="Compact"/>
              <w:jc w:val="left"/>
            </w:pPr>
            <w:r>
              <w:t xml:space="preserve">WestLeech</w:t>
            </w:r>
          </w:p>
        </w:tc>
        <w:tc>
          <w:p>
            <w:pPr>
              <w:pStyle w:val="Compact"/>
              <w:jc w:val="left"/>
            </w:pPr>
            <w:r>
              <w:t xml:space="preserve">wet</w:t>
            </w:r>
          </w:p>
        </w:tc>
        <w:tc>
          <w:p>
            <w:pPr>
              <w:pStyle w:val="Compact"/>
              <w:jc w:val="right"/>
            </w:pPr>
            <w:r>
              <w:t xml:space="preserve">52</w:t>
            </w:r>
          </w:p>
        </w:tc>
        <w:tc>
          <w:p>
            <w:pPr>
              <w:pStyle w:val="Compact"/>
              <w:jc w:val="right"/>
            </w:pPr>
            <w:r>
              <w:t xml:space="preserve">5.9</w:t>
            </w:r>
          </w:p>
        </w:tc>
        <w:tc>
          <w:p>
            <w:pPr>
              <w:pStyle w:val="Compact"/>
              <w:jc w:val="right"/>
            </w:pPr>
            <w:r>
              <w:t xml:space="preserve">2.4</w:t>
            </w:r>
          </w:p>
        </w:tc>
        <w:tc>
          <w:p>
            <w:pPr>
              <w:pStyle w:val="Compact"/>
              <w:jc w:val="right"/>
            </w:pPr>
            <w:r>
              <w:t xml:space="preserve">17.1</w:t>
            </w:r>
          </w:p>
        </w:tc>
        <w:tc>
          <w:p>
            <w:pPr>
              <w:pStyle w:val="Compact"/>
              <w:jc w:val="right"/>
            </w:pPr>
            <w:r>
              <w:t xml:space="preserve">5.4</w:t>
            </w:r>
          </w:p>
        </w:tc>
        <w:tc>
          <w:p>
            <w:pPr>
              <w:pStyle w:val="Compact"/>
              <w:jc w:val="right"/>
            </w:pPr>
            <w:r>
              <w:t xml:space="preserve">4.1</w:t>
            </w:r>
          </w:p>
        </w:tc>
        <w:tc>
          <w:p>
            <w:pPr>
              <w:pStyle w:val="Compact"/>
              <w:jc w:val="right"/>
            </w:pPr>
            <w:r>
              <w:t xml:space="preserve">1.7</w:t>
            </w:r>
          </w:p>
        </w:tc>
        <w:tc>
          <w:p>
            <w:pPr>
              <w:pStyle w:val="Compact"/>
              <w:jc w:val="right"/>
            </w:pPr>
            <w:r>
              <w:t xml:space="preserve">4.26</w:t>
            </w:r>
          </w:p>
        </w:tc>
        <w:tc>
          <w:p>
            <w:pPr>
              <w:pStyle w:val="Compact"/>
              <w:jc w:val="right"/>
            </w:pPr>
            <w:r>
              <w:t xml:space="preserve">0.31</w:t>
            </w:r>
          </w:p>
        </w:tc>
      </w:tr>
      <w:tr>
        <w:tc>
          <w:p>
            <w:pPr>
              <w:pStyle w:val="Compact"/>
              <w:jc w:val="left"/>
            </w:pPr>
            <w:r>
              <w:t xml:space="preserve">Tunnel</w:t>
            </w:r>
          </w:p>
        </w:tc>
        <w:tc>
          <w:p>
            <w:pPr>
              <w:pStyle w:val="Compact"/>
              <w:jc w:val="left"/>
            </w:pPr>
            <w:r>
              <w:t xml:space="preserve">dry</w:t>
            </w:r>
          </w:p>
        </w:tc>
        <w:tc>
          <w:p>
            <w:pPr>
              <w:pStyle w:val="Compact"/>
              <w:jc w:val="right"/>
            </w:pPr>
            <w:r>
              <w:t xml:space="preserve">12</w:t>
            </w:r>
          </w:p>
        </w:tc>
        <w:tc>
          <w:p>
            <w:pPr>
              <w:pStyle w:val="Compact"/>
              <w:jc w:val="right"/>
            </w:pPr>
            <w:r>
              <w:t xml:space="preserve">3.9</w:t>
            </w:r>
          </w:p>
        </w:tc>
        <w:tc>
          <w:p>
            <w:pPr>
              <w:pStyle w:val="Compact"/>
              <w:jc w:val="right"/>
            </w:pPr>
            <w:r>
              <w:t xml:space="preserve">2.3</w:t>
            </w:r>
          </w:p>
        </w:tc>
        <w:tc>
          <w:p>
            <w:pPr>
              <w:pStyle w:val="Compact"/>
              <w:jc w:val="right"/>
            </w:pPr>
            <w:r>
              <w:t xml:space="preserve">5.3</w:t>
            </w:r>
          </w:p>
        </w:tc>
        <w:tc>
          <w:p>
            <w:pPr>
              <w:pStyle w:val="Compact"/>
              <w:jc w:val="right"/>
            </w:pPr>
            <w:r>
              <w:t xml:space="preserve">0.1</w:t>
            </w:r>
          </w:p>
        </w:tc>
        <w:tc>
          <w:p>
            <w:pPr>
              <w:pStyle w:val="Compact"/>
              <w:jc w:val="right"/>
            </w:pPr>
            <w:r>
              <w:t xml:space="preserve">0.8</w:t>
            </w:r>
          </w:p>
        </w:tc>
        <w:tc>
          <w:p>
            <w:pPr>
              <w:pStyle w:val="Compact"/>
              <w:jc w:val="right"/>
            </w:pPr>
            <w:r>
              <w:t xml:space="preserve">0.0</w:t>
            </w:r>
          </w:p>
        </w:tc>
        <w:tc>
          <w:p>
            <w:pPr>
              <w:pStyle w:val="Compact"/>
              <w:jc w:val="right"/>
            </w:pPr>
            <w:r>
              <w:t xml:space="preserve">4.20</w:t>
            </w:r>
          </w:p>
        </w:tc>
        <w:tc>
          <w:p>
            <w:pPr>
              <w:pStyle w:val="Compact"/>
              <w:jc w:val="right"/>
            </w:pPr>
            <w:r>
              <w:t xml:space="preserve">0.16</w:t>
            </w:r>
          </w:p>
        </w:tc>
      </w:tr>
      <w:tr>
        <w:tc>
          <w:p>
            <w:pPr>
              <w:pStyle w:val="Compact"/>
              <w:jc w:val="left"/>
            </w:pPr>
            <w:r>
              <w:t xml:space="preserve">Tunnel</w:t>
            </w:r>
          </w:p>
        </w:tc>
        <w:tc>
          <w:p>
            <w:pPr>
              <w:pStyle w:val="Compact"/>
              <w:jc w:val="left"/>
            </w:pPr>
            <w:r>
              <w:t xml:space="preserve">wet</w:t>
            </w:r>
          </w:p>
        </w:tc>
        <w:tc>
          <w:p>
            <w:pPr>
              <w:pStyle w:val="Compact"/>
              <w:jc w:val="right"/>
            </w:pPr>
            <w:r>
              <w:t xml:space="preserve">52</w:t>
            </w:r>
          </w:p>
        </w:tc>
        <w:tc>
          <w:p>
            <w:pPr>
              <w:pStyle w:val="Compact"/>
              <w:jc w:val="right"/>
            </w:pPr>
            <w:r>
              <w:t xml:space="preserve">4.9</w:t>
            </w:r>
          </w:p>
        </w:tc>
        <w:tc>
          <w:p>
            <w:pPr>
              <w:pStyle w:val="Compact"/>
              <w:jc w:val="right"/>
            </w:pPr>
            <w:r>
              <w:t xml:space="preserve">1.7</w:t>
            </w:r>
          </w:p>
        </w:tc>
        <w:tc>
          <w:p>
            <w:pPr>
              <w:pStyle w:val="Compact"/>
              <w:jc w:val="right"/>
            </w:pPr>
            <w:r>
              <w:t xml:space="preserve">17.7</w:t>
            </w:r>
          </w:p>
        </w:tc>
        <w:tc>
          <w:p>
            <w:pPr>
              <w:pStyle w:val="Compact"/>
              <w:jc w:val="right"/>
            </w:pPr>
            <w:r>
              <w:t xml:space="preserve">4.8</w:t>
            </w:r>
          </w:p>
        </w:tc>
        <w:tc>
          <w:p>
            <w:pPr>
              <w:pStyle w:val="Compact"/>
              <w:jc w:val="right"/>
            </w:pPr>
            <w:r>
              <w:t xml:space="preserve">3.7</w:t>
            </w:r>
          </w:p>
        </w:tc>
        <w:tc>
          <w:p>
            <w:pPr>
              <w:pStyle w:val="Compact"/>
              <w:jc w:val="right"/>
            </w:pPr>
            <w:r>
              <w:t xml:space="preserve">0.9</w:t>
            </w:r>
          </w:p>
        </w:tc>
        <w:tc>
          <w:p>
            <w:pPr>
              <w:pStyle w:val="Compact"/>
              <w:jc w:val="right"/>
            </w:pPr>
            <w:r>
              <w:t xml:space="preserve">4.42</w:t>
            </w:r>
          </w:p>
        </w:tc>
        <w:tc>
          <w:p>
            <w:pPr>
              <w:pStyle w:val="Compact"/>
              <w:jc w:val="right"/>
            </w:pPr>
            <w:r>
              <w:t xml:space="preserve">0.20</w:t>
            </w:r>
          </w:p>
        </w:tc>
      </w:tr>
      <w:tr>
        <w:tc>
          <w:p>
            <w:pPr>
              <w:pStyle w:val="Compact"/>
              <w:jc w:val="left"/>
            </w:pPr>
            <w:r>
              <w:t xml:space="preserve">all sites</w:t>
            </w:r>
          </w:p>
        </w:tc>
        <w:tc>
          <w:p>
            <w:pPr>
              <w:pStyle w:val="Compact"/>
              <w:jc w:val="left"/>
            </w:pPr>
            <w:r>
              <w:t xml:space="preserve">dry</w:t>
            </w:r>
          </w:p>
        </w:tc>
        <w:tc>
          <w:p>
            <w:pPr>
              <w:pStyle w:val="Compact"/>
              <w:jc w:val="right"/>
            </w:pPr>
            <w:r>
              <w:t xml:space="preserve">39</w:t>
            </w:r>
          </w:p>
        </w:tc>
        <w:tc>
          <w:p>
            <w:pPr>
              <w:pStyle w:val="Compact"/>
              <w:jc w:val="right"/>
            </w:pPr>
            <w:r>
              <w:t xml:space="preserve">5.5</w:t>
            </w:r>
          </w:p>
        </w:tc>
        <w:tc>
          <w:p>
            <w:pPr>
              <w:pStyle w:val="Compact"/>
              <w:jc w:val="right"/>
            </w:pPr>
            <w:r>
              <w:t xml:space="preserve">2.7</w:t>
            </w:r>
          </w:p>
        </w:tc>
        <w:tc>
          <w:p>
            <w:pPr>
              <w:pStyle w:val="Compact"/>
              <w:jc w:val="right"/>
            </w:pPr>
            <w:r>
              <w:t xml:space="preserve">8.5</w:t>
            </w:r>
          </w:p>
        </w:tc>
        <w:tc>
          <w:p>
            <w:pPr>
              <w:pStyle w:val="Compact"/>
              <w:jc w:val="right"/>
            </w:pPr>
            <w:r>
              <w:t xml:space="preserve">6.6</w:t>
            </w:r>
          </w:p>
        </w:tc>
        <w:tc>
          <w:p>
            <w:pPr>
              <w:pStyle w:val="Compact"/>
              <w:jc w:val="right"/>
            </w:pPr>
            <w:r>
              <w:t xml:space="preserve">1.2</w:t>
            </w:r>
          </w:p>
        </w:tc>
        <w:tc>
          <w:p>
            <w:pPr>
              <w:pStyle w:val="Compact"/>
              <w:jc w:val="right"/>
            </w:pPr>
            <w:r>
              <w:t xml:space="preserve">0.4</w:t>
            </w:r>
          </w:p>
        </w:tc>
        <w:tc>
          <w:p>
            <w:pPr>
              <w:pStyle w:val="Compact"/>
              <w:jc w:val="right"/>
            </w:pPr>
            <w:r>
              <w:t xml:space="preserve">4.34</w:t>
            </w:r>
          </w:p>
        </w:tc>
        <w:tc>
          <w:p>
            <w:pPr>
              <w:pStyle w:val="Compact"/>
              <w:jc w:val="right"/>
            </w:pPr>
            <w:r>
              <w:t xml:space="preserve">0.19</w:t>
            </w:r>
          </w:p>
        </w:tc>
      </w:tr>
      <w:tr>
        <w:tc>
          <w:p>
            <w:pPr>
              <w:pStyle w:val="Compact"/>
              <w:jc w:val="left"/>
            </w:pPr>
            <w:r>
              <w:t xml:space="preserve">all sites</w:t>
            </w:r>
          </w:p>
        </w:tc>
        <w:tc>
          <w:p>
            <w:pPr>
              <w:pStyle w:val="Compact"/>
              <w:jc w:val="left"/>
            </w:pPr>
            <w:r>
              <w:t xml:space="preserve">wet</w:t>
            </w:r>
          </w:p>
        </w:tc>
        <w:tc>
          <w:p>
            <w:pPr>
              <w:pStyle w:val="Compact"/>
              <w:jc w:val="right"/>
            </w:pPr>
            <w:r>
              <w:t xml:space="preserve">279</w:t>
            </w:r>
          </w:p>
        </w:tc>
        <w:tc>
          <w:p>
            <w:pPr>
              <w:pStyle w:val="Compact"/>
              <w:jc w:val="right"/>
            </w:pPr>
            <w:r>
              <w:t xml:space="preserve">6.2</w:t>
            </w:r>
          </w:p>
        </w:tc>
        <w:tc>
          <w:p>
            <w:pPr>
              <w:pStyle w:val="Compact"/>
              <w:jc w:val="right"/>
            </w:pPr>
            <w:r>
              <w:t xml:space="preserve">2.9</w:t>
            </w:r>
          </w:p>
        </w:tc>
        <w:tc>
          <w:p>
            <w:pPr>
              <w:pStyle w:val="Compact"/>
              <w:jc w:val="right"/>
            </w:pPr>
            <w:r>
              <w:t xml:space="preserve">18.9</w:t>
            </w:r>
          </w:p>
        </w:tc>
        <w:tc>
          <w:p>
            <w:pPr>
              <w:pStyle w:val="Compact"/>
              <w:jc w:val="right"/>
            </w:pPr>
            <w:r>
              <w:t xml:space="preserve">7.6</w:t>
            </w:r>
          </w:p>
        </w:tc>
        <w:tc>
          <w:p>
            <w:pPr>
              <w:pStyle w:val="Compact"/>
              <w:jc w:val="right"/>
            </w:pPr>
            <w:r>
              <w:t xml:space="preserve">3.7</w:t>
            </w:r>
          </w:p>
        </w:tc>
        <w:tc>
          <w:p>
            <w:pPr>
              <w:pStyle w:val="Compact"/>
              <w:jc w:val="right"/>
            </w:pPr>
            <w:r>
              <w:t xml:space="preserve">1.1</w:t>
            </w:r>
          </w:p>
        </w:tc>
        <w:tc>
          <w:p>
            <w:pPr>
              <w:pStyle w:val="Compact"/>
              <w:jc w:val="right"/>
            </w:pPr>
            <w:r>
              <w:t xml:space="preserve">4.39</w:t>
            </w:r>
          </w:p>
        </w:tc>
        <w:tc>
          <w:p>
            <w:pPr>
              <w:pStyle w:val="Compact"/>
              <w:jc w:val="right"/>
            </w:pPr>
            <w:r>
              <w:t xml:space="preserve">0.34</w:t>
            </w:r>
          </w:p>
        </w:tc>
      </w:tr>
    </w:tbl>
    <w:p>
      <w:pPr>
        <w:pStyle w:val="BodyText"/>
      </w:pPr>
      <w:r>
        <w:t xml:space="preserve"> </w:t>
      </w:r>
    </w:p>
    <w:p>
      <w:pPr>
        <w:pStyle w:val="CaptionedFigure"/>
      </w:pPr>
      <w:r>
        <w:drawing>
          <wp:inline>
            <wp:extent cx="5504749" cy="6880936"/>
            <wp:effectExtent b="0" l="0" r="0" t="0"/>
            <wp:docPr descr="Figure 20:  Sample results over the dry and wet seasons for DOC (as NPOC, mg/L) concentrations and indicators of NOM aromaticity and molecular size: SAC254(m-1), SUVA (L mg-1 m-1), E2:E3." title="" id="1" name="Picture"/>
            <a:graphic>
              <a:graphicData uri="http://schemas.openxmlformats.org/drawingml/2006/picture">
                <pic:pic>
                  <pic:nvPicPr>
                    <pic:cNvPr descr="R-outputs_UBC-forWater-MSc_HMc/figures/Ch3_NOM-DOC_boxplots-by-season.png" id="0" name="Picture"/>
                    <pic:cNvPicPr>
                      <a:picLocks noChangeArrowheads="1" noChangeAspect="1"/>
                    </pic:cNvPicPr>
                  </pic:nvPicPr>
                  <pic:blipFill>
                    <a:blip r:embed="rId9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Sample results over the dry and wet seasons for DOC (as NPOC, mg/L) concentrations and indicators of NOM aromaticity and molecular size: SAC</w:t>
      </w:r>
      <w:r>
        <w:rPr>
          <w:vertAlign w:val="subscript"/>
          <w:i/>
        </w:rPr>
        <w:t xml:space="preserve">254</w:t>
      </w:r>
      <w:r>
        <w:rPr>
          <w:i/>
        </w:rPr>
        <w:t xml:space="preserve">(m</w:t>
      </w:r>
      <w:r>
        <w:rPr>
          <w:vertAlign w:val="superscript"/>
          <w:i/>
        </w:rPr>
        <w:t xml:space="preserve">-1</w:t>
      </w:r>
      <w:r>
        <w:rPr>
          <w:i/>
        </w:rPr>
        <w:t xml:space="preserve">), SUVA (L mg</w:t>
      </w:r>
      <w:r>
        <w:rPr>
          <w:vertAlign w:val="superscript"/>
          <w:i/>
        </w:rPr>
        <w:t xml:space="preserve">-1</w:t>
      </w:r>
      <w:r>
        <w:rPr>
          <w:i/>
        </w:rPr>
        <w:t xml:space="preserve"> </w:t>
      </w:r>
      <w:r>
        <w:rPr>
          <w:i/>
        </w:rPr>
        <w:t xml:space="preserve">m</w:t>
      </w:r>
      <w:r>
        <w:rPr>
          <w:vertAlign w:val="superscript"/>
          <w:i/>
        </w:rPr>
        <w:t xml:space="preserve">-1</w:t>
      </w:r>
      <w:r>
        <w:rPr>
          <w:i/>
        </w:rPr>
        <w:t xml:space="preserve">), E</w:t>
      </w:r>
      <w:r>
        <w:rPr>
          <w:vertAlign w:val="subscript"/>
          <w:i/>
        </w:rPr>
        <w:t xml:space="preserve">2</w:t>
      </w:r>
      <w:r>
        <w:rPr>
          <w:i/>
        </w:rPr>
        <w:t xml:space="preserve">:E</w:t>
      </w:r>
      <w:r>
        <w:rPr>
          <w:vertAlign w:val="subscript"/>
          <w:i/>
        </w:rPr>
        <w:t xml:space="preserve">3</w:t>
      </w:r>
      <w:r>
        <w:rPr>
          <w:i/>
        </w:rPr>
        <w:t xml:space="preserve">.</w:t>
      </w:r>
    </w:p>
    <w:p>
      <w:pPr>
        <w:pStyle w:val="BodyText"/>
      </w:pPr>
      <w:r>
        <w:t xml:space="preserve"> </w:t>
      </w:r>
    </w:p>
    <w:p>
      <w:pPr>
        <w:pStyle w:val="BodyText"/>
      </w:pPr>
      <w:r>
        <w:t xml:space="preserve">The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 xml:space="preserve">2</w:t>
      </w:r>
      <w:r>
        <w:t xml:space="preserve">:E</w:t>
      </w:r>
      <w:r>
        <w:rPr>
          <w:vertAlign w:val="subscript"/>
        </w:rPr>
        <w:t xml:space="preserve">3</w:t>
      </w:r>
      <w:r>
        <w:t xml:space="preserve"> </w:t>
      </w:r>
      <w:r>
        <w:t xml:space="preserve">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w:t>
      </w:r>
      <w:r>
        <w:t xml:space="preserve"> </w:t>
      </w:r>
      <w:r>
        <w:t xml:space="preserve">20</w:t>
      </w:r>
      <w:r>
        <w:t xml:space="preserve">). SAC</w:t>
      </w:r>
      <w:r>
        <w:rPr>
          <w:vertAlign w:val="subscript"/>
        </w:rPr>
        <w:t xml:space="preserve">254</w:t>
      </w:r>
      <w:r>
        <w:t xml:space="preserve"> </w:t>
      </w:r>
      <w:r>
        <w:t xml:space="preserve">showed a similar increase in aromatic character from headwaters to mouth during the dry season, albeit the trend was less pronounced and there was a larger difference between ChrisCrk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as could be expected, displayed a combination of DOC and SAC</w:t>
      </w:r>
      <w:r>
        <w:rPr>
          <w:vertAlign w:val="subscript"/>
        </w:rPr>
        <w:t xml:space="preserve">254</w:t>
      </w:r>
      <w:r>
        <w:t xml:space="preserve"> </w:t>
      </w:r>
      <w:r>
        <w:t xml:space="preserve">trends. DOC concentrations decreased from headwaters to mouth in both the wet and dry seasons, with the greatest variance at the head (Weeks) and mouth (Tunnel).</w:t>
      </w:r>
    </w:p>
    <w:p>
      <w:pPr>
        <w:pStyle w:val="BodyText"/>
      </w:pPr>
      <w:r>
        <w:t xml:space="preserve"> </w:t>
      </w:r>
    </w:p>
    <w:p>
      <w:pPr>
        <w:pStyle w:val="BodyText"/>
      </w:pPr>
      <w:r>
        <w:t xml:space="preserve">In the wet season, there was a spatial decrease in NOM aromaticity from headwaters to the Tunnel. In the headwater streams (sites 1 &amp; 2), wet season NOM character was more aromatic at Weeks but had a broader range in spectral indices values at ChrisCrk. The River continuum concept predicts greater NOM diversity in headwaters than in higher order streams; these results only partially agree with that RCC concept and it appears that the wetland-dominated sub-basin (Weeks) had much more consistent NOM character than the ChrisCrk headwater stream. The longitudinal decrease in aromatic NOM character could have been an affect of dilution during the wet season. Of the main tributaries to the Leech River mainstem, CraggCrk had less aromatic character than WestLeech.</w:t>
      </w:r>
    </w:p>
    <w:p>
      <w:pPr>
        <w:pStyle w:val="BodyText"/>
      </w:pPr>
      <w:r>
        <w:t xml:space="preserve"> </w:t>
      </w:r>
    </w:p>
    <w:p>
      <w:pPr>
        <w:pStyle w:val="Heading4"/>
      </w:pPr>
      <w:bookmarkStart w:id="95" w:name="rising-stage-and-nom-dynamics"/>
      <w:r>
        <w:t xml:space="preserve">Rising stage and NOM dynamics</w:t>
      </w:r>
      <w:bookmarkEnd w:id="95"/>
    </w:p>
    <w:p>
      <w:pPr>
        <w:pStyle w:val="FirstParagraph"/>
      </w:pPr>
      <w:r>
        <w:t xml:space="preserve">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TableCaption"/>
      </w:pPr>
      <w:r>
        <w:t xml:space="preserve">Table 16:</w:t>
      </w:r>
      <w:r>
        <w:t xml:space="preserve"> </w:t>
      </w:r>
      <w:r>
        <w:rPr>
          <w:i/>
        </w:rPr>
        <w:t xml:space="preserve">Summary of stream response to precipitation events across the LWSA.</w:t>
      </w:r>
    </w:p>
    <w:tbl>
      <w:tblPr>
        <w:tblStyle w:val="Table"/>
        <w:tblW w:type="pct" w:w="5000.0"/>
        <w:tblLook w:firstRow="1"/>
        <w:tblCaption w:val="Table 16: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Tunnel (site 6) and smallest at the Weeks headwater creek (site 1) which drains Weeks Lake and surrounding wetlands.</w:t>
      </w:r>
    </w:p>
    <w:p>
      <w:pPr>
        <w:pStyle w:val="BodyText"/>
      </w:pPr>
      <w:r>
        <w:t xml:space="preserve"> </w:t>
      </w:r>
    </w:p>
    <w:p>
      <w:pPr>
        <w:pStyle w:val="Heading4"/>
      </w:pPr>
      <w:bookmarkStart w:id="96" w:name="Xc2630683f9dc53106c8f6f2575ed377c9a57537"/>
      <w:r>
        <w:t xml:space="preserve">Spatiotemporal synchrony in local extrema: river stage and DOC</w:t>
      </w:r>
      <w:bookmarkEnd w:id="96"/>
    </w:p>
    <w:p>
      <w:pPr>
        <w:pStyle w:val="FirstParagraph"/>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17</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17:</w:t>
      </w:r>
      <w:r>
        <w:t xml:space="preserve"> </w:t>
      </w:r>
      <w:r>
        <w:rPr>
          <w:i/>
        </w:rPr>
        <w:t xml:space="preserve">Proportion of samples for which peak DOC was found in the highest sample stage.</w:t>
      </w:r>
    </w:p>
    <w:tbl>
      <w:tblPr>
        <w:tblStyle w:val="Table"/>
        <w:tblW w:type="pct" w:w="0.0"/>
        <w:tblLook w:firstRow="1"/>
        <w:tblCaption w:val="Table 17: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21</w:t>
      </w:r>
      <w:r>
        <w:t xml:space="preserve">).</w:t>
      </w:r>
    </w:p>
    <w:p>
      <w:pPr>
        <w:pStyle w:val="BodyText"/>
      </w:pPr>
      <w:r>
        <w:t xml:space="preserve"> </w:t>
      </w:r>
    </w:p>
    <w:p>
      <w:pPr>
        <w:pStyle w:val="CaptionedFigure"/>
      </w:pPr>
      <w:r>
        <w:drawing>
          <wp:inline>
            <wp:extent cx="5943600" cy="6339839"/>
            <wp:effectExtent b="0" l="0" r="0" t="0"/>
            <wp:docPr descr="Figure 21: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7"/>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TableCaption"/>
      </w:pPr>
      <w:r>
        <w:t xml:space="preserve">Table 18:</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8: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Heading4"/>
      </w:pPr>
      <w:bookmarkStart w:id="98" w:name="river-stage-doc-nom"/>
      <w:r>
        <w:t xml:space="preserve">River stage, DOC &amp; NOM</w:t>
      </w:r>
      <w:bookmarkEnd w:id="98"/>
    </w:p>
    <w:p>
      <w:pPr>
        <w:pStyle w:val="FirstParagraph"/>
      </w:pPr>
      <w:r>
        <w:t xml:space="preserve">In general, DOC concentrations increases with increasing stage across the LWSA, thought the trends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22</w:t>
      </w:r>
      <w:r>
        <w:t xml:space="preserve">).</w:t>
      </w:r>
    </w:p>
    <w:p>
      <w:pPr>
        <w:pStyle w:val="BodyText"/>
      </w:pPr>
      <w:r>
        <w:t xml:space="preserve"> </w:t>
      </w:r>
    </w:p>
    <w:p>
      <w:pPr>
        <w:pStyle w:val="CaptionedFigure"/>
      </w:pPr>
      <w:r>
        <w:drawing>
          <wp:inline>
            <wp:extent cx="5504749" cy="6880936"/>
            <wp:effectExtent b="0" l="0" r="0" t="0"/>
            <wp:docPr descr="Figure 22:  Relationships between river stage and sample content and character. Data for each variable were normalized (min-max normalization) to clarify relative scales in each relationship" title="" id="1" name="Picture"/>
            <a:graphic>
              <a:graphicData uri="http://schemas.openxmlformats.org/drawingml/2006/picture">
                <pic:pic>
                  <pic:nvPicPr>
                    <pic:cNvPr descr="R-outputs_UBC-forWater-MSc_HMc/figures/Ch3_StageNorm_DOC-NOM.png" id="0" name="Picture"/>
                    <pic:cNvPicPr>
                      <a:picLocks noChangeArrowheads="1" noChangeAspect="1"/>
                    </pic:cNvPicPr>
                  </pic:nvPicPr>
                  <pic:blipFill>
                    <a:blip r:embed="rId99"/>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Relationships between river stage and sample content and character. Data for each variable were normalized (min-max normalization) to clarify relative scales in each relationship</w:t>
      </w:r>
    </w:p>
    <w:p>
      <w:pPr>
        <w:pStyle w:val="BodyText"/>
      </w:pPr>
      <w:r>
        <w:t xml:space="preserve"> </w:t>
      </w:r>
    </w:p>
    <w:p>
      <w:pPr>
        <w:pStyle w:val="Heading4"/>
      </w:pPr>
      <w:bookmarkStart w:id="100" w:name="random-forests-for-variable-importance-1"/>
      <w:r>
        <w:t xml:space="preserve">Random Forests for variable importance</w:t>
      </w:r>
      <w:bookmarkEnd w:id="100"/>
    </w:p>
    <w:p>
      <w:pPr>
        <w:pStyle w:val="FirstParagraph"/>
      </w:pPr>
      <w:r>
        <w:t xml:space="preserve">RF With all seasons data: (Figure</w:t>
      </w:r>
      <w:r>
        <w:t xml:space="preserve"> </w:t>
      </w:r>
      <w:r>
        <w:t xml:space="preserve">23</w:t>
      </w:r>
      <w:r>
        <w:t xml:space="preserve">.</w:t>
      </w:r>
    </w:p>
    <w:p>
      <w:pPr>
        <w:pStyle w:val="BodyText"/>
      </w:pPr>
      <w:r>
        <w:t xml:space="preserve"> </w:t>
      </w:r>
    </w:p>
    <w:p>
      <w:pPr>
        <w:pStyle w:val="CaptionedFigure"/>
      </w:pPr>
      <w:r>
        <w:drawing>
          <wp:inline>
            <wp:extent cx="5504749" cy="4587290"/>
            <wp:effectExtent b="0" l="0" r="0" t="0"/>
            <wp:docPr descr="Figure 23:  All seasons data included in RF (LWSA monitoring sites)" title="" id="1" name="Picture"/>
            <a:graphic>
              <a:graphicData uri="http://schemas.openxmlformats.org/drawingml/2006/picture">
                <pic:pic>
                  <pic:nvPicPr>
                    <pic:cNvPr descr="R-outputs_UBC-forWater-MSc_HMc/figures/RF_NPOC-type1-relimp_MSE.png" id="0" name="Picture"/>
                    <pic:cNvPicPr>
                      <a:picLocks noChangeArrowheads="1" noChangeAspect="1"/>
                    </pic:cNvPicPr>
                  </pic:nvPicPr>
                  <pic:blipFill>
                    <a:blip r:embed="rId101"/>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All seasons data included in RF (LWSA monitoring sites)</w:t>
      </w:r>
    </w:p>
    <w:p>
      <w:pPr>
        <w:pStyle w:val="BodyText"/>
      </w:pPr>
      <w:r>
        <w:t xml:space="preserve"> </w:t>
      </w:r>
    </w:p>
    <w:p>
      <w:pPr>
        <w:pStyle w:val="BodyText"/>
      </w:pPr>
      <w:r>
        <w:t xml:space="preserve">Dry season data only: (Figure</w:t>
      </w:r>
      <w:r>
        <w:t xml:space="preserve"> </w:t>
      </w:r>
      <w:r>
        <w:t xml:space="preserve">24</w:t>
      </w:r>
      <w:r>
        <w:t xml:space="preserve">.</w:t>
      </w:r>
    </w:p>
    <w:p>
      <w:pPr>
        <w:pStyle w:val="BodyText"/>
      </w:pPr>
      <w:r>
        <w:t xml:space="preserve"> </w:t>
      </w:r>
    </w:p>
    <w:p>
      <w:pPr>
        <w:pStyle w:val="CaptionedFigure"/>
      </w:pPr>
      <w:r>
        <w:drawing>
          <wp:inline>
            <wp:extent cx="4587290" cy="3669832"/>
            <wp:effectExtent b="0" l="0" r="0" t="0"/>
            <wp:docPr descr="Figure 24:  **" title="" id="1" name="Picture"/>
            <a:graphic>
              <a:graphicData uri="http://schemas.openxmlformats.org/drawingml/2006/picture">
                <pic:pic>
                  <pic:nvPicPr>
                    <pic:cNvPr descr="R-outputs_UBC-forWater-MSc_HMc/figures/RF_NPOC_type1-dry-relimp_MSE.png" id="0" name="Picture"/>
                    <pic:cNvPicPr>
                      <a:picLocks noChangeArrowheads="1" noChangeAspect="1"/>
                    </pic:cNvPicPr>
                  </pic:nvPicPr>
                  <pic:blipFill>
                    <a:blip r:embed="rId10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w:t>
      </w:r>
    </w:p>
    <w:p>
      <w:pPr>
        <w:pStyle w:val="BodyText"/>
      </w:pPr>
      <w:r>
        <w:t xml:space="preserve"> </w:t>
      </w:r>
    </w:p>
    <w:p>
      <w:pPr>
        <w:pStyle w:val="BodyText"/>
      </w:pPr>
      <w:r>
        <w:t xml:space="preserve">Wet season data only: (Figure</w:t>
      </w:r>
      <w:r>
        <w:t xml:space="preserve"> </w:t>
      </w:r>
      <w:r>
        <w:t xml:space="preserve">25</w:t>
      </w:r>
      <w:r>
        <w:t xml:space="preserve">.</w:t>
      </w:r>
    </w:p>
    <w:p>
      <w:pPr>
        <w:pStyle w:val="BodyText"/>
      </w:pPr>
      <w:r>
        <w:t xml:space="preserve"> </w:t>
      </w:r>
    </w:p>
    <w:p>
      <w:pPr>
        <w:pStyle w:val="CaptionedFigure"/>
      </w:pPr>
      <w:r>
        <w:drawing>
          <wp:inline>
            <wp:extent cx="4587290" cy="3669832"/>
            <wp:effectExtent b="0" l="0" r="0" t="0"/>
            <wp:docPr descr="Figure 25:  Wet seasons data included in RF (LWSA monitoring sites)" title="" id="1" name="Picture"/>
            <a:graphic>
              <a:graphicData uri="http://schemas.openxmlformats.org/drawingml/2006/picture">
                <pic:pic>
                  <pic:nvPicPr>
                    <pic:cNvPr descr="R-outputs_UBC-forWater-MSc_HMc/figures/RF_NPOC_type1-wet-relimp_MSE.png" id="0" name="Picture"/>
                    <pic:cNvPicPr>
                      <a:picLocks noChangeArrowheads="1" noChangeAspect="1"/>
                    </pic:cNvPicPr>
                  </pic:nvPicPr>
                  <pic:blipFill>
                    <a:blip r:embed="rId10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Wet seasons data included in RF (LWSA monitoring sites)</w:t>
      </w:r>
    </w:p>
    <w:p>
      <w:pPr>
        <w:pStyle w:val="BodyText"/>
      </w:pPr>
      <w:r>
        <w:t xml:space="preserve"> </w:t>
      </w:r>
    </w:p>
    <w:p>
      <w:pPr>
        <w:pStyle w:val="Heading3"/>
      </w:pPr>
      <w:bookmarkStart w:id="104" w:name="remove-until-you-fix-this"/>
      <w:r>
        <w:t xml:space="preserve">Remove until you fix this</w:t>
      </w:r>
      <w:bookmarkEnd w:id="104"/>
    </w:p>
    <w:p>
      <w:pPr>
        <w:pStyle w:val="FirstParagraph"/>
      </w:pPr>
      <w:r>
        <w:rPr>
          <w:i/>
          <w:b/>
        </w:rPr>
        <w:t xml:space="preserve">this section is a bit whacky – needs attention to 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3"/>
          <w:ilvl w:val="0"/>
        </w:numPr>
      </w:pPr>
      <w:r>
        <w:t xml:space="preserve">earlier 2019</w:t>
      </w:r>
      <w:r>
        <w:t xml:space="preserve"> </w:t>
      </w:r>
      <w:r>
        <w:t xml:space="preserve">rain events 10 &amp; 11 (maybe)</w:t>
      </w:r>
    </w:p>
    <w:p>
      <w:pPr>
        <w:pStyle w:val="FirstParagraph"/>
      </w:pPr>
      <w:r>
        <w:t xml:space="preserve">To better understand how timing of peak DOC varied among sites during the wet season, a subset of samples was selected for closer analysis (highlighted in Figure</w:t>
      </w:r>
      <w:r>
        <w:t xml:space="preserve"> </w:t>
      </w:r>
      <w:r>
        <w:t xml:space="preserve">21</w:t>
      </w:r>
      <w:r>
        <w:t xml:space="preserve"> </w:t>
      </w:r>
      <w:r>
        <w:t xml:space="preserve">and expanded in Figure</w:t>
      </w:r>
      <w:r>
        <w:t xml:space="preserve"> </w:t>
      </w:r>
      <w:r>
        <w:t xml:space="preserve">26</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19</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19:</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9: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4"/>
          <w:ilvl w:val="0"/>
        </w:numPr>
      </w:pPr>
      <w:r>
        <w:t xml:space="preserve">Rates of stream response (times to peak): Table</w:t>
      </w:r>
      <w:r>
        <w:t xml:space="preserve"> </w:t>
      </w:r>
      <w:r>
        <w:t xml:space="preserve">20</w:t>
      </w:r>
    </w:p>
    <w:p>
      <w:pPr>
        <w:pStyle w:val="FirstParagraph"/>
      </w:pPr>
      <w:r>
        <w:t xml:space="preserve"> </w:t>
      </w:r>
    </w:p>
    <w:p>
      <w:pPr>
        <w:pStyle w:val="TableCaption"/>
      </w:pPr>
      <w:r>
        <w:t xml:space="preserve">Table 20:</w:t>
      </w:r>
      <w:r>
        <w:t xml:space="preserve"> </w:t>
      </w:r>
      <w:r>
        <w:rPr>
          <w:i/>
        </w:rPr>
        <w:t xml:space="preserve">Summary of stream response to precipitation events 10-12 across the LWSA.</w:t>
      </w:r>
    </w:p>
    <w:tbl>
      <w:tblPr>
        <w:tblStyle w:val="Table"/>
        <w:tblW w:type="pct" w:w="5000.0"/>
        <w:tblLook w:firstRow="1"/>
        <w:tblCaption w:val="Table 20: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5"/>
          <w:ilvl w:val="0"/>
        </w:numPr>
      </w:pPr>
      <w:r>
        <w:t xml:space="preserve">DOC changes in stormflow</w:t>
      </w:r>
    </w:p>
    <w:p>
      <w:pPr>
        <w:pStyle w:val="Compact"/>
        <w:numPr>
          <w:numId w:val="1005"/>
          <w:ilvl w:val="0"/>
        </w:numPr>
      </w:pPr>
      <w:r>
        <w:t xml:space="preserve">range of DOC in each event: Table</w:t>
      </w:r>
      <w:r>
        <w:t xml:space="preserve"> </w:t>
      </w:r>
      <w:r>
        <w:t xml:space="preserve">21</w:t>
      </w:r>
    </w:p>
    <w:p>
      <w:pPr>
        <w:pStyle w:val="FirstParagraph"/>
      </w:pPr>
      <w:r>
        <w:t xml:space="preserve"> </w:t>
      </w:r>
    </w:p>
    <w:p>
      <w:pPr>
        <w:pStyle w:val="TableCaption"/>
      </w:pPr>
      <w:r>
        <w:t xml:space="preserve">Table 21:</w:t>
      </w:r>
      <w:r>
        <w:t xml:space="preserve"> </w:t>
      </w:r>
      <w:r>
        <w:rPr>
          <w:i/>
        </w:rPr>
        <w:t xml:space="preserve">Summary of DOC changes within stormflow response to precipitation events 10-12 across the LWSA.</w:t>
      </w:r>
    </w:p>
    <w:tbl>
      <w:tblPr>
        <w:tblStyle w:val="Table"/>
        <w:tblW w:type="pct" w:w="5000.0"/>
        <w:tblLook w:firstRow="1"/>
        <w:tblCaption w:val="Table 21: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6: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10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BodyText"/>
      </w:pPr>
      <w:r>
        <w:rPr>
          <w:i/>
          <w:b/>
        </w:rPr>
        <w:t xml:space="preserve">end whacky section</w:t>
      </w:r>
    </w:p>
    <w:p>
      <w:pPr>
        <w:pStyle w:val="BodyText"/>
      </w:pPr>
      <w:r>
        <w:br/>
      </w:r>
    </w:p>
    <w:p>
      <w:pPr>
        <w:pStyle w:val="Heading3"/>
      </w:pPr>
      <w:bookmarkStart w:id="106" w:name="discussion"/>
      <w:r>
        <w:t xml:space="preserve">Discussion</w:t>
      </w:r>
      <w:bookmarkEnd w:id="106"/>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6"/>
          <w:ilvl w:val="0"/>
        </w:numPr>
      </w:pPr>
      <w:r>
        <w:t xml:space="preserve">variability among sub-basins versus variability within each sub-basin over time</w:t>
      </w:r>
    </w:p>
    <w:p>
      <w:pPr>
        <w:pStyle w:val="Compact"/>
        <w:numPr>
          <w:numId w:val="1006"/>
          <w:ilvl w:val="0"/>
        </w:numPr>
      </w:pPr>
      <w:r>
        <w:t xml:space="preserve">timing of peaks and valleys of stage – at 10 min resolution was there a lag from upstream to downstream?</w:t>
      </w:r>
    </w:p>
    <w:p>
      <w:pPr>
        <w:pStyle w:val="Compact"/>
        <w:numPr>
          <w:numId w:val="1006"/>
          <w:ilvl w:val="0"/>
        </w:numPr>
      </w:pPr>
      <w:r>
        <w:t xml:space="preserve">source versus transport limitations – DOC in rising limb</w:t>
      </w:r>
    </w:p>
    <w:p>
      <w:pPr>
        <w:pStyle w:val="Compact"/>
        <w:numPr>
          <w:numId w:val="1006"/>
          <w:ilvl w:val="0"/>
        </w:numPr>
      </w:pPr>
      <w:r>
        <w:t xml:space="preserve">any hysteretic behaviour? (DOC over time by event)</w:t>
      </w:r>
    </w:p>
    <w:p>
      <w:pPr>
        <w:pStyle w:val="Compact"/>
        <w:numPr>
          <w:numId w:val="1006"/>
          <w:ilvl w:val="0"/>
        </w:numPr>
      </w:pPr>
      <w:r>
        <w:t xml:space="preserve">was there a relationship between rain event intensity/duration and DOC?</w:t>
      </w:r>
    </w:p>
    <w:p>
      <w:pPr>
        <w:pStyle w:val="Compact"/>
        <w:numPr>
          <w:numId w:val="1006"/>
          <w:ilvl w:val="0"/>
        </w:numPr>
      </w:pPr>
      <w:r>
        <w:t xml:space="preserve">use RF to determine relative importance of watershed characteristics as DOC predictors</w:t>
      </w:r>
    </w:p>
    <w:p>
      <w:pPr>
        <w:pStyle w:val="Compact"/>
        <w:numPr>
          <w:numId w:val="1006"/>
          <w:ilvl w:val="0"/>
        </w:numPr>
      </w:pPr>
      <w:r>
        <w:t xml:space="preserve">use RF to in-fill missing NOM absorbance data based on relationship with DOC??? Like Yeonuk did for CH4 flux</w:t>
      </w:r>
    </w:p>
    <w:p>
      <w:pPr>
        <w:pStyle w:val="Heading3"/>
      </w:pPr>
      <w:bookmarkStart w:id="107" w:name="conculsions"/>
      <w:r>
        <w:t xml:space="preserve">Conculsions</w:t>
      </w:r>
      <w:bookmarkEnd w:id="107"/>
    </w:p>
    <w:p>
      <w:pPr>
        <w:pStyle w:val="Compact"/>
        <w:numPr>
          <w:numId w:val="1007"/>
          <w:ilvl w:val="0"/>
        </w:numPr>
      </w:pPr>
      <w:r>
        <w:t xml:space="preserve">establishing connectivity among nested catchments as a baseline for experimental treatments (future)</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future:</w:t>
      </w:r>
    </w:p>
    <w:p>
      <w:pPr>
        <w:pStyle w:val="Compact"/>
        <w:numPr>
          <w:numId w:val="1008"/>
          <w:ilvl w:val="0"/>
        </w:numPr>
      </w:pPr>
      <w:r>
        <w:t xml:space="preserve">matched sample filling-stage with continuous logger stage could be combined with rating curve to determine mass transport or loading (future)</w:t>
      </w:r>
    </w:p>
    <w:p>
      <w:pPr>
        <w:pStyle w:val="Heading2"/>
      </w:pPr>
      <w:bookmarkStart w:id="108" w:name="summary-conclusions"/>
      <w:r>
        <w:t xml:space="preserve">Summary &amp; Conclusions</w:t>
      </w:r>
      <w:bookmarkEnd w:id="108"/>
    </w:p>
    <w:p>
      <w:pPr>
        <w:pStyle w:val="Heading3"/>
      </w:pPr>
      <w:bookmarkStart w:id="109" w:name="X8db5f38833cbb48dc6afb8e20d30ffa86edd60c"/>
      <w:r>
        <w:t xml:space="preserve">Discussion of results in context of drinking water supply</w:t>
      </w:r>
      <w:bookmarkEnd w:id="109"/>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Compact"/>
        <w:numPr>
          <w:numId w:val="1009"/>
          <w:ilvl w:val="0"/>
        </w:numPr>
      </w:pPr>
      <w:r>
        <w:t xml:space="preserve">conflicting objectives and competing values (Peter Duinker’s work)</w:t>
      </w:r>
    </w:p>
    <w:p>
      <w:pPr>
        <w:pStyle w:val="Compact"/>
        <w:numPr>
          <w:numId w:val="1010"/>
          <w:ilvl w:val="1"/>
        </w:numPr>
      </w:pPr>
      <w:r>
        <w:t xml:space="preserve">managing temperate forests for timber removes carbon pools, managing for protection may increase the carbon, thus protection does not necessarily improve water quality.</w:t>
      </w:r>
    </w:p>
    <w:p>
      <w:pPr>
        <w:pStyle w:val="Compact"/>
        <w:numPr>
          <w:numId w:val="1010"/>
          <w:ilvl w:val="1"/>
        </w:numPr>
      </w:pPr>
      <w:r>
        <w:t xml:space="preserve">timber / carbon sequestration / water / biodiversity</w:t>
      </w:r>
    </w:p>
    <w:p>
      <w:pPr>
        <w:pStyle w:val="Compact"/>
        <w:numPr>
          <w:numId w:val="1009"/>
          <w:ilvl w:val="0"/>
        </w:numPr>
      </w:pPr>
      <w:r>
        <w:t xml:space="preserve">source water quality in rivers is unlikely to reflect the water at the intake tower</w:t>
      </w:r>
    </w:p>
    <w:p>
      <w:pPr>
        <w:pStyle w:val="Compact"/>
        <w:numPr>
          <w:numId w:val="1011"/>
          <w:ilvl w:val="1"/>
        </w:numPr>
      </w:pPr>
      <w:r>
        <w:t xml:space="preserve">reservoir residence times</w:t>
      </w:r>
    </w:p>
    <w:p>
      <w:pPr>
        <w:pStyle w:val="Compact"/>
        <w:numPr>
          <w:numId w:val="1011"/>
          <w:ilvl w:val="1"/>
        </w:numPr>
      </w:pPr>
      <w:r>
        <w:t xml:space="preserve">photodegradation</w:t>
      </w:r>
    </w:p>
    <w:p>
      <w:pPr>
        <w:pStyle w:val="Compact"/>
        <w:numPr>
          <w:numId w:val="1011"/>
          <w:ilvl w:val="1"/>
        </w:numPr>
      </w:pPr>
      <w:r>
        <w:t xml:space="preserve">physiochemcial reactions and changes</w:t>
      </w:r>
    </w:p>
    <w:p>
      <w:pPr>
        <w:pStyle w:val="Compact"/>
        <w:numPr>
          <w:numId w:val="1011"/>
          <w:ilvl w:val="1"/>
        </w:numPr>
      </w:pPr>
      <w:r>
        <w:t xml:space="preserve">biodegradation // transformation // bioproduction of NOM</w:t>
      </w:r>
    </w:p>
    <w:p>
      <w:pPr>
        <w:pStyle w:val="Compact"/>
        <w:numPr>
          <w:numId w:val="1011"/>
          <w:ilvl w:val="1"/>
        </w:numPr>
      </w:pPr>
      <w:r>
        <w:t xml:space="preserve">the rivers introduce new material and new conditions (e.g. different temperatures, dissolved oxygen, carbonate for buffering or organic acids altering pH, new microbiota) the</w:t>
      </w:r>
    </w:p>
    <w:p>
      <w:pPr>
        <w:pStyle w:val="Compact"/>
        <w:numPr>
          <w:numId w:val="1011"/>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1"/>
          <w:ilvl w:val="1"/>
        </w:numPr>
      </w:pPr>
      <w:r>
        <w:t xml:space="preserve">UV degradation is likely in lakes</w:t>
      </w:r>
    </w:p>
    <w:p>
      <w:pPr>
        <w:pStyle w:val="Compact"/>
        <w:numPr>
          <w:numId w:val="1011"/>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pPr>
        <w:pStyle w:val="Heading3"/>
      </w:pPr>
      <w:bookmarkStart w:id="110" w:name="concluding-remarks"/>
      <w:r>
        <w:t xml:space="preserve">Concluding remarks</w:t>
      </w:r>
      <w:bookmarkEnd w:id="110"/>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2"/>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3"/>
          <w:ilvl w:val="0"/>
        </w:numPr>
      </w:pPr>
      <w:r>
        <w:t xml:space="preserve">Across the LWSA, was the variance in DOC greater within each site or among all sites?</w:t>
      </w:r>
    </w:p>
    <w:p>
      <w:pPr>
        <w:numPr>
          <w:numId w:val="1013"/>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1" w:name="references"/>
      <w:r>
        <w:t xml:space="preserve">References</w:t>
      </w:r>
      <w:bookmarkEnd w:id="111"/>
    </w:p>
    <w:p>
      <w:pPr>
        <w:pStyle w:val="Heading1"/>
      </w:pPr>
      <w:bookmarkStart w:id="112" w:name="appendices"/>
      <w:r>
        <w:t xml:space="preserve">Appendices</w:t>
      </w:r>
      <w:bookmarkEnd w:id="112"/>
    </w:p>
    <w:p>
      <w:pPr>
        <w:pStyle w:val="Heading7"/>
      </w:pPr>
      <w:bookmarkStart w:id="113" w:name="introduction-extended-background"/>
      <w:r>
        <w:t xml:space="preserve">Introduction: extended background</w:t>
      </w:r>
      <w:bookmarkEnd w:id="113"/>
    </w:p>
    <w:p>
      <w:pPr>
        <w:pStyle w:val="Heading8"/>
      </w:pPr>
      <w:bookmarkStart w:id="114" w:name="the-nserc-forwater-network"/>
      <w:r>
        <w:t xml:space="preserve">The NSERC forWater Network</w:t>
      </w:r>
      <w:bookmarkEnd w:id="114"/>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15" w:name="X264f14d3eae9d18c35d78736d0a098750021930"/>
      <w:r>
        <w:t xml:space="preserve">Greater Victoria Regional Water Supply System</w:t>
      </w:r>
      <w:bookmarkEnd w:id="115"/>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16" w:name="Xe968f3c83cbcc4b5a1983307cc0905fcf58e8c8"/>
      <w:r>
        <w:t xml:space="preserve">Leech watershed monitoring sites: details and observations</w:t>
      </w:r>
      <w:bookmarkEnd w:id="116"/>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8"/>
      </w:pPr>
      <w:bookmarkStart w:id="117" w:name="lwsa-sites"/>
      <w:r>
        <w:t xml:space="preserve">LWSA Sites</w:t>
      </w:r>
      <w:bookmarkEnd w:id="117"/>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Creek (site 1)</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rPr>
          <w:i/>
          <w:b/>
        </w:rPr>
        <w:t xml:space="preserve">Chris Creek (site 2)</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BodyText"/>
      </w:pPr>
      <w:r>
        <w:rPr>
          <w:i/>
          <w:b/>
        </w:rPr>
        <w:t xml:space="preserve">Leech Head (site 3)</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BodyText"/>
      </w:pPr>
      <w:r>
        <w:rPr>
          <w:i/>
          <w:b/>
        </w:rPr>
        <w:t xml:space="preserve">Cragg Creek (site 4)</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7: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18"/>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BodyText"/>
      </w:pPr>
      <w:r>
        <w:rPr>
          <w:i/>
          <w:b/>
        </w:rPr>
        <w:t xml:space="preserve">West Leech (site 5)</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BodyText"/>
      </w:pPr>
      <w:r>
        <w:rPr>
          <w:i/>
          <w:b/>
        </w:rPr>
        <w:t xml:space="preserve">Leech Tunnel (site 6)</w:t>
      </w:r>
    </w:p>
    <w:p>
      <w:pPr>
        <w:pStyle w:val="BodyText"/>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7"/>
      </w:pPr>
      <w:bookmarkStart w:id="119" w:name="sampling-methods-extended"/>
      <w:r>
        <w:t xml:space="preserve">Sampling methods extended</w:t>
      </w:r>
      <w:bookmarkEnd w:id="119"/>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20" w:name="X4e3eb70344da6a931ae15671e47b67ae69cdd36"/>
      <w:r>
        <w:t xml:space="preserve">Prototype for falling limb passive sampling</w:t>
      </w:r>
      <w:bookmarkEnd w:id="120"/>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21" w:name="field-protocol"/>
      <w:r>
        <w:t xml:space="preserve">Field protocol</w:t>
      </w:r>
      <w:bookmarkEnd w:id="121"/>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2" w:name="X2d89b5d6f202e03997b814e44f6e42dfdd5249c"/>
      <w:r>
        <w:t xml:space="preserve">Collaborative sampling: forWater-coordinated treatability analyses</w:t>
      </w:r>
      <w:bookmarkEnd w:id="122"/>
    </w:p>
    <w:p>
      <w:pPr>
        <w:pStyle w:val="Heading8"/>
      </w:pPr>
      <w:bookmarkStart w:id="123" w:name="methods-treatability-doc"/>
      <w:r>
        <w:t xml:space="preserve">Methods: Treatability &amp; DOC</w:t>
      </w:r>
      <w:bookmarkEnd w:id="123"/>
    </w:p>
    <w:p>
      <w:pPr>
        <w:pStyle w:val="FirstParagraph"/>
      </w:pPr>
      <w:r>
        <w:rPr>
          <w:b/>
        </w:rPr>
        <w:t xml:space="preserve">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4"/>
          <w:ilvl w:val="0"/>
        </w:numPr>
      </w:pPr>
      <w:r>
        <w:t xml:space="preserve">Leech River at the future point of diversion (near Leech Tunnel inlet)</w:t>
      </w:r>
    </w:p>
    <w:p>
      <w:pPr>
        <w:pStyle w:val="Compact"/>
        <w:numPr>
          <w:numId w:val="1014"/>
          <w:ilvl w:val="0"/>
        </w:numPr>
      </w:pPr>
      <w:r>
        <w:t xml:space="preserve">Deception Reservoir, downstream from Deception Gulch (outlet of Leech Tunnel)</w:t>
      </w:r>
    </w:p>
    <w:p>
      <w:pPr>
        <w:pStyle w:val="Compact"/>
        <w:numPr>
          <w:numId w:val="1014"/>
          <w:ilvl w:val="0"/>
        </w:numPr>
      </w:pPr>
      <w:r>
        <w:t xml:space="preserve">Rithet Creek (main tributary to Sooke Reservoir)</w:t>
      </w:r>
    </w:p>
    <w:p>
      <w:pPr>
        <w:pStyle w:val="Compact"/>
        <w:numPr>
          <w:numId w:val="1014"/>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8"/>
      </w:pPr>
      <w:bookmarkStart w:id="124" w:name="results-treatability-doc"/>
      <w:r>
        <w:t xml:space="preserve">Results: Treatability &amp; DOC</w:t>
      </w:r>
      <w:bookmarkEnd w:id="124"/>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28</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8: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5"/>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6" w:name="Xff3df6f0b5125afdf67e23fe1c58fcbb9379388"/>
      <w:r>
        <w:t xml:space="preserve">Collaborative sampling: Sampling for Metals on behalf of the CRD</w:t>
      </w:r>
      <w:bookmarkEnd w:id="126"/>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29</w:t>
      </w:r>
      <w:r>
        <w:t xml:space="preserve"> </w:t>
      </w:r>
      <w:r>
        <w:t xml:space="preserve">shows DOC with total metals in μg/L, and Figure</w:t>
      </w:r>
      <w:r>
        <w:t xml:space="preserve"> </w:t>
      </w:r>
      <w:r>
        <w:t xml:space="preserve">30</w:t>
      </w:r>
      <w:r>
        <w:t xml:space="preserve"> </w:t>
      </w:r>
      <w:r>
        <w:t xml:space="preserve">shows metals in mg/L).</w:t>
      </w:r>
    </w:p>
    <w:p>
      <w:pPr>
        <w:pStyle w:val="BodyText"/>
      </w:pPr>
      <w:r>
        <w:t xml:space="preserve"> </w:t>
      </w:r>
    </w:p>
    <w:p>
      <w:pPr>
        <w:pStyle w:val="CaptionedFigure"/>
      </w:pPr>
      <w:r>
        <w:drawing>
          <wp:inline>
            <wp:extent cx="5943600" cy="3669448"/>
            <wp:effectExtent b="0" l="0" r="0" t="0"/>
            <wp:docPr descr="Figure 29: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27"/>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9448"/>
            <wp:effectExtent b="0" l="0" r="0" t="0"/>
            <wp:docPr descr="Figure 30: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28"/>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22</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22:</w:t>
      </w:r>
      <w:r>
        <w:t xml:space="preserve"> </w:t>
      </w:r>
      <w:r>
        <w:rPr>
          <w:i/>
        </w:rPr>
        <w:t xml:space="preserve">Relationships between total metals with dissolved organic carbon</w:t>
      </w:r>
    </w:p>
    <w:tbl>
      <w:tblPr>
        <w:tblStyle w:val="Table"/>
        <w:tblW w:type="pct" w:w="0.0"/>
        <w:tblLook w:firstRow="1"/>
        <w:tblCaption w:val="Table 22: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29" w:name="ancilary-data-climate-context"/>
      <w:r>
        <w:t xml:space="preserve">Ancilary data: climate context</w:t>
      </w:r>
      <w:bookmarkEnd w:id="129"/>
    </w:p>
    <w:p>
      <w:pPr>
        <w:pStyle w:val="Heading8"/>
      </w:pPr>
      <w:bookmarkStart w:id="130" w:name="fwx-stations-in-the-lwsa"/>
      <w:r>
        <w:t xml:space="preserve">FWx stations in the LWSA</w:t>
      </w:r>
      <w:bookmarkEnd w:id="130"/>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31</w:t>
      </w:r>
      <w:r>
        <w:t xml:space="preserve">, Table</w:t>
      </w:r>
      <w:r>
        <w:t xml:space="preserve"> </w:t>
      </w:r>
      <w:r>
        <w:t xml:space="preserve">23</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1: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1"/>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23: Annual weather from CRD FWx stations in the Leech water supply area*</w:t>
      </w:r>
    </w:p>
    <w:tbl>
      <w:tblPr>
        <w:tblStyle w:val="Table"/>
        <w:tblW w:type="pct" w:w="5000.0"/>
        <w:tblLook w:firstRow="1"/>
        <w:tblCaption w:val="Table 23: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2" w:name="malahat-5-year-weather"/>
      <w:r>
        <w:t xml:space="preserve">Malahat 5 year weather</w:t>
      </w:r>
      <w:bookmarkEnd w:id="132"/>
    </w:p>
    <w:p>
      <w:pPr>
        <w:pStyle w:val="Compact"/>
        <w:numPr>
          <w:numId w:val="1015"/>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32</w:t>
      </w:r>
      <w:r>
        <w:t xml:space="preserve"> </w:t>
      </w:r>
      <w:r>
        <w:t xml:space="preserve">shows Malahat weather data, which are summarized in Table</w:t>
      </w:r>
      <w:r>
        <w:t xml:space="preserve"> </w:t>
      </w:r>
      <w:r>
        <w:t xml:space="preserve">24</w:t>
      </w:r>
      <w:r>
        <w:t xml:space="preserve">.</w:t>
      </w:r>
    </w:p>
    <w:p>
      <w:pPr>
        <w:pStyle w:val="CaptionedFigure"/>
      </w:pPr>
      <w:r>
        <w:drawing>
          <wp:inline>
            <wp:extent cx="5943600" cy="3669448"/>
            <wp:effectExtent b="0" l="0" r="0" t="0"/>
            <wp:docPr descr="Figure 32: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3"/>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24:</w:t>
      </w:r>
      <w:r>
        <w:t xml:space="preserve"> </w:t>
      </w:r>
      <w:r>
        <w:rPr>
          <w:i/>
        </w:rPr>
        <w:t xml:space="preserve">Annual weather data from Malahat station (MoTI ID 62091)</w:t>
      </w:r>
    </w:p>
    <w:tbl>
      <w:tblPr>
        <w:tblStyle w:val="Table"/>
        <w:tblW w:type="pct" w:w="0.0"/>
        <w:tblLook w:firstRow="1"/>
        <w:tblCaption w:val="Table 24: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33</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9448"/>
            <wp:effectExtent b="0" l="0" r="0" t="0"/>
            <wp:docPr descr="Figure 33: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4"/>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25:</w:t>
      </w:r>
      <w:r>
        <w:t xml:space="preserve"> </w:t>
      </w:r>
      <w:r>
        <w:rPr>
          <w:i/>
        </w:rPr>
        <w:t xml:space="preserve">Results of Wilcoxon test for Malahat weather data before and during the study period</w:t>
      </w:r>
    </w:p>
    <w:tbl>
      <w:tblPr>
        <w:tblStyle w:val="Table"/>
        <w:tblW w:type="pct" w:w="0.0"/>
        <w:tblLook w:firstRow="1"/>
        <w:tblCaption w:val="Table 25: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35" w:name="Xf5bd38fa1fb9dfd4e7cefd39104e81e653219ae"/>
      <w:r>
        <w:t xml:space="preserve">Extended: linear regression for air temperatures at vertical racks</w:t>
      </w:r>
      <w:bookmarkEnd w:id="135"/>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3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Heading8"/>
      </w:pPr>
      <w:bookmarkStart w:id="138" w:name="Xcb91ee272f7dfa22c755b18931f0aed63be860e"/>
      <w:r>
        <w:t xml:space="preserve">Linear regression: air temperature estimation</w:t>
      </w:r>
      <w:bookmarkEnd w:id="138"/>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3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26</w:t>
      </w:r>
      <w:r>
        <w:t xml:space="preserve">) with no statistical difference (at 90% confidence) for Cragg Crk, West Leech and the Tunnel (sites 4, 5, 6).</w:t>
      </w:r>
    </w:p>
    <w:p>
      <w:pPr>
        <w:pStyle w:val="BodyText"/>
      </w:pPr>
      <w:r>
        <w:t xml:space="preserve"> </w:t>
      </w:r>
    </w:p>
    <w:p>
      <w:pPr>
        <w:pStyle w:val="TableCaption"/>
      </w:pPr>
      <w:r>
        <w:t xml:space="preserve">Table 26:</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6: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27</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27:</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7: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41" w:name="results-extended"/>
      <w:r>
        <w:t xml:space="preserve">Results extended</w:t>
      </w:r>
      <w:bookmarkEnd w:id="141"/>
    </w:p>
    <w:p>
      <w:pPr>
        <w:pStyle w:val="Heading8"/>
      </w:pPr>
      <w:bookmarkStart w:id="142" w:name="X91fa14e256c50d3b56fbacfc8ea86d69f0ab7ce"/>
      <w:r>
        <w:t xml:space="preserve">NOM sampling in nested catchments (from Ch.2)</w:t>
      </w:r>
      <w:bookmarkEnd w:id="142"/>
    </w:p>
    <w:p>
      <w:pPr>
        <w:pStyle w:val="FirstParagraph"/>
      </w:pPr>
      <w:r>
        <w:t xml:space="preserve"> </w:t>
      </w:r>
    </w:p>
    <w:p>
      <w:pPr>
        <w:pStyle w:val="CaptionedFigure"/>
      </w:pPr>
      <w:r>
        <w:drawing>
          <wp:inline>
            <wp:extent cx="5504749" cy="5504749"/>
            <wp:effectExtent b="0" l="0" r="0" t="0"/>
            <wp:docPr descr="Figure 38: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38</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38</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39</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9: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Heading7"/>
      </w:pPr>
      <w:bookmarkStart w:id="145" w:name="possible-trash"/>
      <w:r>
        <w:t xml:space="preserve">possible trash</w:t>
      </w:r>
      <w:bookmarkEnd w:id="145"/>
    </w:p>
    <w:p>
      <w:pPr>
        <w:pStyle w:val="Heading8"/>
      </w:pPr>
      <w:bookmarkStart w:id="146" w:name="spatial-variance-in-doc-concentrations"/>
      <w:r>
        <w:t xml:space="preserve">Spatial variance in DOC concentrations</w:t>
      </w:r>
      <w:bookmarkEnd w:id="146"/>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28</w:t>
      </w:r>
      <w:r>
        <w:t xml:space="preserve">).</w:t>
      </w:r>
    </w:p>
    <w:p>
      <w:pPr>
        <w:pStyle w:val="BodyText"/>
      </w:pPr>
      <w:r>
        <w:t xml:space="preserve"> </w:t>
      </w:r>
    </w:p>
    <w:p>
      <w:pPr>
        <w:pStyle w:val="TableCaption"/>
      </w:pPr>
      <w:r>
        <w:t xml:space="preserve">Table 28:</w:t>
      </w:r>
      <w:r>
        <w:t xml:space="preserve"> </w:t>
      </w:r>
      <w:r>
        <w:rPr>
          <w:i/>
        </w:rPr>
        <w:t xml:space="preserve">Summary of DOC across the six LWSA research sites with each nested catchment classified by basin type.</w:t>
      </w:r>
    </w:p>
    <w:tbl>
      <w:tblPr>
        <w:tblStyle w:val="Table"/>
        <w:tblW w:type="pct" w:w="5000.0"/>
        <w:tblLook w:firstRow="1"/>
        <w:tblCaption w:val="Table 28: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47"/>
      </w:r>
    </w:p>
    <w:p>
      <w:pPr>
        <w:pStyle w:val="BodyText"/>
      </w:pPr>
      <w:r>
        <w:t xml:space="preserve">To identify which pairs of sites had equal DOC variance Levene’s test was applied to sample DOC results. Table</w:t>
      </w:r>
      <w:r>
        <w:t xml:space="preserve"> </w:t>
      </w:r>
      <w:r>
        <w:t xml:space="preserve">29</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29:</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9: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48" w:name="e2e3-over-time"/>
      <w:r>
        <w:t xml:space="preserve">E2E3 over time</w:t>
      </w:r>
      <w:bookmarkEnd w:id="148"/>
    </w:p>
    <w:p>
      <w:pPr>
        <w:pStyle w:val="CaptionedFigure"/>
      </w:pPr>
      <w:r>
        <w:drawing>
          <wp:inline>
            <wp:extent cx="5504749" cy="3669832"/>
            <wp:effectExtent b="0" l="0" r="0" t="0"/>
            <wp:docPr descr="Figure 40: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4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40:</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rPr>
          <w:i/>
          <w:b/>
        </w:rPr>
        <w:t xml:space="preserve">?</w:t>
      </w:r>
    </w:p>
    <w:p>
      <w:pPr>
        <w:pStyle w:val="Compact"/>
        <w:numPr>
          <w:numId w:val="1016"/>
          <w:ilvl w:val="0"/>
        </w:numPr>
      </w:pPr>
      <w:r>
        <w:t xml:space="preserve">Gauging Streamflow (?)</w:t>
      </w:r>
    </w:p>
    <w:bookmarkStart w:id="277" w:name="refs"/>
    <w:bookmarkStart w:id="151"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50">
        <w:r>
          <w:rPr>
            <w:rStyle w:val="Hyperlink"/>
          </w:rPr>
          <w:t xml:space="preserve">https://doi.org/10.1111/ele.12897</w:t>
        </w:r>
      </w:hyperlink>
      <w:r>
        <w:t xml:space="preserve">.</w:t>
      </w:r>
    </w:p>
    <w:bookmarkEnd w:id="151"/>
    <w:bookmarkStart w:id="153"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2">
        <w:r>
          <w:rPr>
            <w:rStyle w:val="Hyperlink"/>
          </w:rPr>
          <w:t xml:space="preserve">https://doi.org/10.1002/j.1551-8833.1995.tb06299.x</w:t>
        </w:r>
      </w:hyperlink>
      <w:r>
        <w:t xml:space="preserve">.</w:t>
      </w:r>
    </w:p>
    <w:bookmarkEnd w:id="153"/>
    <w:bookmarkStart w:id="155"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4">
        <w:r>
          <w:rPr>
            <w:rStyle w:val="Hyperlink"/>
          </w:rPr>
          <w:t xml:space="preserve">https://doi.org/10.1021/es103992s</w:t>
        </w:r>
      </w:hyperlink>
      <w:r>
        <w:t xml:space="preserve">.</w:t>
      </w:r>
    </w:p>
    <w:bookmarkEnd w:id="155"/>
    <w:bookmarkStart w:id="157"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6">
        <w:r>
          <w:rPr>
            <w:rStyle w:val="Hyperlink"/>
          </w:rPr>
          <w:t xml:space="preserve">https://doi.org/10.1016/j.jhydrol.2014.05.060</w:t>
        </w:r>
      </w:hyperlink>
      <w:r>
        <w:t xml:space="preserve">.</w:t>
      </w:r>
    </w:p>
    <w:bookmarkEnd w:id="157"/>
    <w:bookmarkStart w:id="159"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58">
        <w:r>
          <w:rPr>
            <w:rStyle w:val="Hyperlink"/>
          </w:rPr>
          <w:t xml:space="preserve">https://doi.org/10.1029/2007JG000674</w:t>
        </w:r>
      </w:hyperlink>
      <w:r>
        <w:t xml:space="preserve">.</w:t>
      </w:r>
    </w:p>
    <w:bookmarkEnd w:id="159"/>
    <w:bookmarkStart w:id="161"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60">
        <w:r>
          <w:rPr>
            <w:rStyle w:val="Hyperlink"/>
          </w:rPr>
          <w:t xml:space="preserve">http://www.standardmethods.org/</w:t>
        </w:r>
      </w:hyperlink>
      <w:r>
        <w:t xml:space="preserve">.</w:t>
      </w:r>
    </w:p>
    <w:bookmarkEnd w:id="161"/>
    <w:bookmarkStart w:id="163"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2">
        <w:r>
          <w:rPr>
            <w:rStyle w:val="Hyperlink"/>
          </w:rPr>
          <w:t xml:space="preserve">https://doi.org/10.2105/SMWW.2882.113</w:t>
        </w:r>
      </w:hyperlink>
      <w:r>
        <w:t xml:space="preserve">.</w:t>
      </w:r>
    </w:p>
    <w:bookmarkEnd w:id="163"/>
    <w:bookmarkStart w:id="165"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4">
        <w:r>
          <w:rPr>
            <w:rStyle w:val="Hyperlink"/>
          </w:rPr>
          <w:t xml:space="preserve">https://doi.org/10.1007/s11749-016-0481-7</w:t>
        </w:r>
      </w:hyperlink>
      <w:r>
        <w:t xml:space="preserve">.</w:t>
      </w:r>
    </w:p>
    <w:bookmarkEnd w:id="165"/>
    <w:bookmarkStart w:id="167"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6">
        <w:r>
          <w:rPr>
            <w:rStyle w:val="Hyperlink"/>
          </w:rPr>
          <w:t xml:space="preserve">https://doi.org/10.1201/9780367816377-11</w:t>
        </w:r>
      </w:hyperlink>
      <w:r>
        <w:t xml:space="preserve">.</w:t>
      </w:r>
    </w:p>
    <w:bookmarkEnd w:id="167"/>
    <w:bookmarkStart w:id="169" w:name="ref-BC2019"/>
    <w:p>
      <w:pPr>
        <w:pStyle w:val="Bibliography"/>
      </w:pPr>
      <w:r>
        <w:t xml:space="preserve">British Columbia Ministry of Environment. 2017. “BC Source Drinking Water Quality Guidelines: Guideline Summary.” Victoria, B.C.: Prov. B.C.</w:t>
      </w:r>
      <w:r>
        <w:t xml:space="preserve"> </w:t>
      </w:r>
      <w:hyperlink r:id="rId168">
        <w:r>
          <w:rPr>
            <w:rStyle w:val="Hyperlink"/>
          </w:rPr>
          <w:t xml:space="preserve">https://www2.gov.bc.ca/gov/content/governments/organizational-structure/ministries-organizations/ministries/environment-climate-change</w:t>
        </w:r>
      </w:hyperlink>
      <w:r>
        <w:t xml:space="preserve">.</w:t>
      </w:r>
    </w:p>
    <w:bookmarkEnd w:id="169"/>
    <w:bookmarkStart w:id="170" w:name="ref-CCME2004"/>
    <w:p>
      <w:pPr>
        <w:pStyle w:val="Bibliography"/>
      </w:pPr>
      <w:r>
        <w:t xml:space="preserve">Canadian Council of Ministers of the Environment. 2004. “From source to tap : guidance on the multi-barrier approach to safe drinking water.”</w:t>
      </w:r>
    </w:p>
    <w:bookmarkEnd w:id="170"/>
    <w:bookmarkStart w:id="171"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71"/>
    <w:bookmarkStart w:id="173"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2">
        <w:r>
          <w:rPr>
            <w:rStyle w:val="Hyperlink"/>
          </w:rPr>
          <w:t xml:space="preserve">https://doi.org/10.2166/aqua.2008.064</w:t>
        </w:r>
      </w:hyperlink>
      <w:r>
        <w:t xml:space="preserve">.</w:t>
      </w:r>
    </w:p>
    <w:bookmarkEnd w:id="173"/>
    <w:bookmarkStart w:id="175"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74">
        <w:r>
          <w:rPr>
            <w:rStyle w:val="Hyperlink"/>
          </w:rPr>
          <w:t xml:space="preserve">https://doi.org/10.1007/978-94-007-1363-5</w:t>
        </w:r>
      </w:hyperlink>
      <w:r>
        <w:t xml:space="preserve">.</w:t>
      </w:r>
    </w:p>
    <w:bookmarkEnd w:id="175"/>
    <w:bookmarkStart w:id="177" w:name="ref-CapitalRegionDistrict2017"/>
    <w:p>
      <w:pPr>
        <w:pStyle w:val="Bibliography"/>
      </w:pPr>
      <w:r>
        <w:t xml:space="preserve">CRD. 2017. “Regional Water Supply 2017 Strategic Plan.” Victoria, B.C.: Capital Region District, Integrated Water Services.</w:t>
      </w:r>
      <w:r>
        <w:t xml:space="preserve"> </w:t>
      </w:r>
      <w:hyperlink r:id="rId176">
        <w:r>
          <w:rPr>
            <w:rStyle w:val="Hyperlink"/>
          </w:rPr>
          <w:t xml:space="preserve">https://www.crd.bc.ca/project/past-capital-projects-and-initiatives/water-supply-plan</w:t>
        </w:r>
      </w:hyperlink>
      <w:r>
        <w:t xml:space="preserve">.</w:t>
      </w:r>
    </w:p>
    <w:bookmarkEnd w:id="177"/>
    <w:bookmarkStart w:id="179"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78">
        <w:r>
          <w:rPr>
            <w:rStyle w:val="Hyperlink"/>
          </w:rPr>
          <w:t xml:space="preserve">https://doi.org/IWSS-297445977-5079</w:t>
        </w:r>
      </w:hyperlink>
      <w:r>
        <w:t xml:space="preserve">.</w:t>
      </w:r>
    </w:p>
    <w:bookmarkEnd w:id="179"/>
    <w:bookmarkStart w:id="180" w:name="ref-CRD2020"/>
    <w:p>
      <w:pPr>
        <w:pStyle w:val="Bibliography"/>
      </w:pPr>
      <w:r>
        <w:t xml:space="preserve">———. 2020. “Unpublished weather station data, Greater Victoria Water Supply Area.” Victoria, B.C.: Capital Regional District, Watershed Protection Division, Integrated Water Services.</w:t>
      </w:r>
    </w:p>
    <w:bookmarkEnd w:id="180"/>
    <w:bookmarkStart w:id="182"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81">
        <w:r>
          <w:rPr>
            <w:rStyle w:val="Hyperlink"/>
          </w:rPr>
          <w:t xml:space="preserve">https://doi.org/10.1139/cjfas-2014-0400</w:t>
        </w:r>
      </w:hyperlink>
      <w:r>
        <w:t xml:space="preserve">.</w:t>
      </w:r>
    </w:p>
    <w:bookmarkEnd w:id="182"/>
    <w:bookmarkStart w:id="184"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3">
        <w:r>
          <w:rPr>
            <w:rStyle w:val="Hyperlink"/>
          </w:rPr>
          <w:t xml:space="preserve">https://doi.org/10.1016/B978-0-12-382092-1.00019-1</w:t>
        </w:r>
      </w:hyperlink>
      <w:r>
        <w:t xml:space="preserve">.</w:t>
      </w:r>
    </w:p>
    <w:bookmarkEnd w:id="184"/>
    <w:bookmarkStart w:id="186"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5">
        <w:r>
          <w:rPr>
            <w:rStyle w:val="Hyperlink"/>
          </w:rPr>
          <w:t xml:space="preserve">https://doi.org/10.1016/j.watres.2016.08.031</w:t>
        </w:r>
      </w:hyperlink>
      <w:r>
        <w:t xml:space="preserve">.</w:t>
      </w:r>
    </w:p>
    <w:bookmarkEnd w:id="186"/>
    <w:bookmarkStart w:id="188" w:name="ref-Diehl2007"/>
    <w:p>
      <w:pPr>
        <w:pStyle w:val="Bibliography"/>
      </w:pPr>
      <w:r>
        <w:t xml:space="preserve">Diehl, Timothy H. 2007. “A Modified Siphon Sampler for Shallow Water.” U.S. Department of the Interior, U.S. Geological Survey.</w:t>
      </w:r>
      <w:r>
        <w:t xml:space="preserve"> </w:t>
      </w:r>
      <w:hyperlink r:id="rId187">
        <w:r>
          <w:rPr>
            <w:rStyle w:val="Hyperlink"/>
          </w:rPr>
          <w:t xml:space="preserve">https://pubs.er.usgs.gov/publication/sir20075282</w:t>
        </w:r>
      </w:hyperlink>
      <w:r>
        <w:t xml:space="preserve">.</w:t>
      </w:r>
    </w:p>
    <w:bookmarkEnd w:id="188"/>
    <w:bookmarkStart w:id="190"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89">
        <w:r>
          <w:rPr>
            <w:rStyle w:val="Hyperlink"/>
          </w:rPr>
          <w:t xml:space="preserve">http://scholar.google.com/scholar?hl=en{\&amp;}btnG=Search{\&amp;}q=intitle:Running+Pure{\#}1</w:t>
        </w:r>
      </w:hyperlink>
      <w:r>
        <w:t xml:space="preserve">.</w:t>
      </w:r>
    </w:p>
    <w:bookmarkEnd w:id="190"/>
    <w:bookmarkStart w:id="192"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91">
        <w:r>
          <w:rPr>
            <w:rStyle w:val="Hyperlink"/>
          </w:rPr>
          <w:t xml:space="preserve">https://doi.org/10.1016/j.watres.2010.08.051</w:t>
        </w:r>
      </w:hyperlink>
      <w:r>
        <w:t xml:space="preserve">.</w:t>
      </w:r>
    </w:p>
    <w:bookmarkEnd w:id="192"/>
    <w:bookmarkStart w:id="193" w:name="ref-Epps1994"/>
    <w:p>
      <w:pPr>
        <w:pStyle w:val="Bibliography"/>
      </w:pPr>
      <w:r>
        <w:t xml:space="preserve">Epps, Deborah Norine. 1994. “Factors Affecting Disinfection By-Products from Surface Source Waters on Vancouver Island.” Master of Science, University of Victoria.</w:t>
      </w:r>
    </w:p>
    <w:bookmarkEnd w:id="193"/>
    <w:bookmarkStart w:id="195"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94">
        <w:r>
          <w:rPr>
            <w:rStyle w:val="Hyperlink"/>
          </w:rPr>
          <w:t xml:space="preserve">https://doi.org/10.4319/lo.2012.57.5.1453</w:t>
        </w:r>
      </w:hyperlink>
      <w:r>
        <w:t xml:space="preserve">.</w:t>
      </w:r>
    </w:p>
    <w:bookmarkEnd w:id="195"/>
    <w:bookmarkStart w:id="197"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6">
        <w:r>
          <w:rPr>
            <w:rStyle w:val="Hyperlink"/>
          </w:rPr>
          <w:t xml:space="preserve">https://doi.org/10.3133/fs06700</w:t>
        </w:r>
      </w:hyperlink>
      <w:r>
        <w:t xml:space="preserve">.</w:t>
      </w:r>
    </w:p>
    <w:bookmarkEnd w:id="197"/>
    <w:bookmarkStart w:id="199"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98">
        <w:r>
          <w:rPr>
            <w:rStyle w:val="Hyperlink"/>
          </w:rPr>
          <w:t xml:space="preserve">https://doi.org/10.13031/2013.15662</w:t>
        </w:r>
      </w:hyperlink>
      <w:r>
        <w:t xml:space="preserve">.</w:t>
      </w:r>
    </w:p>
    <w:bookmarkEnd w:id="199"/>
    <w:bookmarkStart w:id="201" w:name="ref-HealthCanada2019"/>
    <w:p>
      <w:pPr>
        <w:pStyle w:val="Bibliography"/>
      </w:pPr>
      <w:r>
        <w:t xml:space="preserve">Health Canada. 2019a. “Guidance on Natural Organic Matter in Drinking Water.”</w:t>
      </w:r>
      <w:r>
        <w:t xml:space="preserve"> </w:t>
      </w:r>
      <w:hyperlink r:id="rId200">
        <w:r>
          <w:rPr>
            <w:rStyle w:val="Hyperlink"/>
          </w:rPr>
          <w:t xml:space="preserve">https://www.canada.ca/content/dam/hc-sc/documents/programs/consultation-organic-matter-drinking-water/NOM20190129-eng.pdf</w:t>
        </w:r>
      </w:hyperlink>
      <w:r>
        <w:t xml:space="preserve">.</w:t>
      </w:r>
    </w:p>
    <w:bookmarkEnd w:id="201"/>
    <w:bookmarkStart w:id="203"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2">
        <w:r>
          <w:rPr>
            <w:rStyle w:val="Hyperlink"/>
          </w:rPr>
          <w:t xml:space="preserve">https://www.canada.ca/content/dam/hc-sc/migration/hc-sc/ewh-semt/alt{\_}formats/pdf/pubs/water-eau/sum{\_}guide-res{\_}recom/summary-table-August-15-2019-eng.pdf</w:t>
        </w:r>
      </w:hyperlink>
      <w:r>
        <w:t xml:space="preserve">.</w:t>
      </w:r>
    </w:p>
    <w:bookmarkEnd w:id="203"/>
    <w:bookmarkStart w:id="205" w:name="ref-HealthCanada2006"/>
    <w:p>
      <w:pPr>
        <w:pStyle w:val="Bibliography"/>
      </w:pPr>
      <w:r>
        <w:t xml:space="preserve">HealthCanada. 2006. “Drinking Water Chlorination.”</w:t>
      </w:r>
      <w:r>
        <w:t xml:space="preserve"> </w:t>
      </w:r>
      <w:hyperlink r:id="rId204">
        <w:r>
          <w:rPr>
            <w:rStyle w:val="Hyperlink"/>
          </w:rPr>
          <w:t xml:space="preserve">https://www.canada.ca/en/health-canada/services/healthy-living/your-health/environment/drinking-water-chlorination.html</w:t>
        </w:r>
      </w:hyperlink>
      <w:r>
        <w:t xml:space="preserve">.</w:t>
      </w:r>
    </w:p>
    <w:bookmarkEnd w:id="205"/>
    <w:bookmarkStart w:id="207" w:name="ref-HealthLinkBC2018"/>
    <w:p>
      <w:pPr>
        <w:pStyle w:val="Bibliography"/>
      </w:pPr>
      <w:r>
        <w:t xml:space="preserve">HealthLinkBC. 2018. “Drinking Water Chlorination Facts.”</w:t>
      </w:r>
      <w:r>
        <w:t xml:space="preserve"> </w:t>
      </w:r>
      <w:hyperlink r:id="rId206">
        <w:r>
          <w:rPr>
            <w:rStyle w:val="Hyperlink"/>
          </w:rPr>
          <w:t xml:space="preserve">https://www.healthlinkbc.ca/healthlinkbc-files/drinking-water-chlorination</w:t>
        </w:r>
      </w:hyperlink>
      <w:r>
        <w:t xml:space="preserve">.</w:t>
      </w:r>
    </w:p>
    <w:bookmarkEnd w:id="207"/>
    <w:bookmarkStart w:id="209"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08">
        <w:r>
          <w:rPr>
            <w:rStyle w:val="Hyperlink"/>
          </w:rPr>
          <w:t xml:space="preserve">https://www.jstor.org/stable/40058211</w:t>
        </w:r>
      </w:hyperlink>
      <w:r>
        <w:t xml:space="preserve">.</w:t>
      </w:r>
    </w:p>
    <w:bookmarkEnd w:id="209"/>
    <w:bookmarkStart w:id="211"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210">
        <w:r>
          <w:rPr>
            <w:rStyle w:val="Hyperlink"/>
          </w:rPr>
          <w:t xml:space="preserve">https://doi.org/10.1016/j.chemosphere.2015.03.039</w:t>
        </w:r>
      </w:hyperlink>
      <w:r>
        <w:t xml:space="preserve">.</w:t>
      </w:r>
    </w:p>
    <w:bookmarkEnd w:id="211"/>
    <w:bookmarkStart w:id="213"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2">
        <w:r>
          <w:rPr>
            <w:rStyle w:val="Hyperlink"/>
          </w:rPr>
          <w:t xml:space="preserve">https://doi.org/10.1002/j.1551-8833.1995.tb06302.x</w:t>
        </w:r>
      </w:hyperlink>
      <w:r>
        <w:t xml:space="preserve">.</w:t>
      </w:r>
    </w:p>
    <w:bookmarkEnd w:id="213"/>
    <w:bookmarkStart w:id="215"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4">
        <w:r>
          <w:rPr>
            <w:rStyle w:val="Hyperlink"/>
          </w:rPr>
          <w:t xml:space="preserve">https://doi.org/doi:10.1046/j.1365-2427.1997.d01-539.x</w:t>
        </w:r>
      </w:hyperlink>
      <w:r>
        <w:t xml:space="preserve">.</w:t>
      </w:r>
    </w:p>
    <w:bookmarkEnd w:id="215"/>
    <w:bookmarkStart w:id="217"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6">
        <w:r>
          <w:rPr>
            <w:rStyle w:val="Hyperlink"/>
          </w:rPr>
          <w:t xml:space="preserve">https://www.jstor.org/stable/41311011</w:t>
        </w:r>
      </w:hyperlink>
      <w:r>
        <w:t xml:space="preserve">.</w:t>
      </w:r>
    </w:p>
    <w:bookmarkEnd w:id="217"/>
    <w:bookmarkStart w:id="219"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18">
        <w:r>
          <w:rPr>
            <w:rStyle w:val="Hyperlink"/>
          </w:rPr>
          <w:t xml:space="preserve">https://doi.org/10.1002/j.1551-8833.2002.tb10250.x</w:t>
        </w:r>
      </w:hyperlink>
      <w:r>
        <w:t xml:space="preserve">.</w:t>
      </w:r>
    </w:p>
    <w:bookmarkEnd w:id="219"/>
    <w:bookmarkStart w:id="221"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20">
        <w:r>
          <w:rPr>
            <w:rStyle w:val="Hyperlink"/>
          </w:rPr>
          <w:t xml:space="preserve">https://doi.org/10.1029/2005WR004362</w:t>
        </w:r>
      </w:hyperlink>
      <w:r>
        <w:t xml:space="preserve">.</w:t>
      </w:r>
    </w:p>
    <w:bookmarkEnd w:id="221"/>
    <w:bookmarkStart w:id="223"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2">
        <w:r>
          <w:rPr>
            <w:rStyle w:val="Hyperlink"/>
          </w:rPr>
          <w:t xml:space="preserve">https://archive.org/details/metaltransportre00lazeuoft/mode/2up</w:t>
        </w:r>
      </w:hyperlink>
      <w:r>
        <w:t xml:space="preserve">.</w:t>
      </w:r>
    </w:p>
    <w:bookmarkEnd w:id="223"/>
    <w:bookmarkStart w:id="225"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4">
        <w:r>
          <w:rPr>
            <w:rStyle w:val="Hyperlink"/>
          </w:rPr>
          <w:t xml:space="preserve">https://doi.org/10.1016/j.jhazmat.2014.02.009</w:t>
        </w:r>
      </w:hyperlink>
      <w:r>
        <w:t xml:space="preserve">.</w:t>
      </w:r>
    </w:p>
    <w:bookmarkEnd w:id="225"/>
    <w:bookmarkStart w:id="227"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6">
        <w:r>
          <w:rPr>
            <w:rStyle w:val="Hyperlink"/>
          </w:rPr>
          <w:t xml:space="preserve">https://doi.org/10.1002/rra.1504</w:t>
        </w:r>
      </w:hyperlink>
      <w:r>
        <w:t xml:space="preserve">.</w:t>
      </w:r>
    </w:p>
    <w:bookmarkEnd w:id="227"/>
    <w:bookmarkStart w:id="229"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28">
        <w:r>
          <w:rPr>
            <w:rStyle w:val="Hyperlink"/>
          </w:rPr>
          <w:t xml:space="preserve">https://doi.org/10.1016/j.chemosphere.2011.01.018</w:t>
        </w:r>
      </w:hyperlink>
      <w:r>
        <w:t xml:space="preserve">.</w:t>
      </w:r>
    </w:p>
    <w:bookmarkEnd w:id="229"/>
    <w:bookmarkStart w:id="231"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30">
        <w:r>
          <w:rPr>
            <w:rStyle w:val="Hyperlink"/>
          </w:rPr>
          <w:t xml:space="preserve">https://doi.org/10.1016/j.cis.2010.06.007</w:t>
        </w:r>
      </w:hyperlink>
      <w:r>
        <w:t xml:space="preserve">.</w:t>
      </w:r>
    </w:p>
    <w:bookmarkEnd w:id="231"/>
    <w:bookmarkStart w:id="233"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32">
        <w:r>
          <w:rPr>
            <w:rStyle w:val="Hyperlink"/>
          </w:rPr>
          <w:t xml:space="preserve">https://www.jstor.org/stable/1937326</w:t>
        </w:r>
      </w:hyperlink>
      <w:r>
        <w:t xml:space="preserve">.</w:t>
      </w:r>
    </w:p>
    <w:bookmarkEnd w:id="233"/>
    <w:bookmarkStart w:id="234"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34"/>
    <w:bookmarkStart w:id="236"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5">
        <w:r>
          <w:rPr>
            <w:rStyle w:val="Hyperlink"/>
          </w:rPr>
          <w:t xml:space="preserve">https://doi.org/10.1007/s10533-015-0103-6</w:t>
        </w:r>
      </w:hyperlink>
      <w:r>
        <w:t xml:space="preserve">.</w:t>
      </w:r>
    </w:p>
    <w:bookmarkEnd w:id="236"/>
    <w:bookmarkStart w:id="238"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37">
        <w:r>
          <w:rPr>
            <w:rStyle w:val="Hyperlink"/>
          </w:rPr>
          <w:t xml:space="preserve">http://hdl.handle.net/1885/40940</w:t>
        </w:r>
      </w:hyperlink>
      <w:r>
        <w:t xml:space="preserve">.</w:t>
      </w:r>
    </w:p>
    <w:bookmarkEnd w:id="238"/>
    <w:bookmarkStart w:id="240"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39">
        <w:r>
          <w:rPr>
            <w:rStyle w:val="Hyperlink"/>
          </w:rPr>
          <w:t xml:space="preserve">https://doi.org/10.5194/bg-10-2315-2013</w:t>
        </w:r>
      </w:hyperlink>
      <w:r>
        <w:t xml:space="preserve">.</w:t>
      </w:r>
    </w:p>
    <w:bookmarkEnd w:id="240"/>
    <w:bookmarkStart w:id="242"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41">
        <w:r>
          <w:rPr>
            <w:rStyle w:val="Hyperlink"/>
          </w:rPr>
          <w:t xml:space="preserve">http://www.jstor.com/stable/41295152</w:t>
        </w:r>
      </w:hyperlink>
      <w:r>
        <w:t xml:space="preserve">.</w:t>
      </w:r>
    </w:p>
    <w:bookmarkEnd w:id="242"/>
    <w:bookmarkStart w:id="244"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3">
        <w:r>
          <w:rPr>
            <w:rStyle w:val="Hyperlink"/>
          </w:rPr>
          <w:t xml:space="preserve">https://doi.org/10.1007/s11270-013-1651-9</w:t>
        </w:r>
      </w:hyperlink>
      <w:r>
        <w:t xml:space="preserve">.</w:t>
      </w:r>
    </w:p>
    <w:bookmarkEnd w:id="244"/>
    <w:bookmarkStart w:id="246"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45">
        <w:r>
          <w:rPr>
            <w:rStyle w:val="Hyperlink"/>
          </w:rPr>
          <w:t xml:space="preserve">https://doi.org/10.1016/S0003-2670(96)00412-6</w:t>
        </w:r>
      </w:hyperlink>
      <w:r>
        <w:t xml:space="preserve">.</w:t>
      </w:r>
    </w:p>
    <w:bookmarkEnd w:id="246"/>
    <w:bookmarkStart w:id="248"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47">
        <w:r>
          <w:rPr>
            <w:rStyle w:val="Hyperlink"/>
          </w:rPr>
          <w:t xml:space="preserve">https://www.for.gov.bc.ca/hfd/pubs/docs/lmh/Lmh66/LMH66{\_}volume2of2.pdf</w:t>
        </w:r>
      </w:hyperlink>
      <w:r>
        <w:t xml:space="preserve">.</w:t>
      </w:r>
    </w:p>
    <w:bookmarkEnd w:id="248"/>
    <w:bookmarkStart w:id="249"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49"/>
    <w:bookmarkStart w:id="251"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50">
        <w:r>
          <w:rPr>
            <w:rStyle w:val="Hyperlink"/>
          </w:rPr>
          <w:t xml:space="preserve">https://doi.org/10.1007/sl0533-010-9416-7</w:t>
        </w:r>
      </w:hyperlink>
      <w:r>
        <w:t xml:space="preserve">.</w:t>
      </w:r>
    </w:p>
    <w:bookmarkEnd w:id="251"/>
    <w:bookmarkStart w:id="253"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52">
        <w:r>
          <w:rPr>
            <w:rStyle w:val="Hyperlink"/>
          </w:rPr>
          <w:t xml:space="preserve">https://www.jstor.org/stable/24702986</w:t>
        </w:r>
      </w:hyperlink>
      <w:r>
        <w:t xml:space="preserve">.</w:t>
      </w:r>
    </w:p>
    <w:bookmarkEnd w:id="253"/>
    <w:bookmarkStart w:id="255"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54">
        <w:r>
          <w:rPr>
            <w:rStyle w:val="Hyperlink"/>
          </w:rPr>
          <w:t xml:space="preserve">https://doi.org/10.1016/j.mrrev.2007.09.001</w:t>
        </w:r>
      </w:hyperlink>
      <w:r>
        <w:t xml:space="preserve">.</w:t>
      </w:r>
    </w:p>
    <w:bookmarkEnd w:id="255"/>
    <w:bookmarkStart w:id="257"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56">
        <w:r>
          <w:rPr>
            <w:rStyle w:val="Hyperlink"/>
          </w:rPr>
          <w:t xml:space="preserve">https://doi.org/10.1016/j.scitotenv.2016.09.113</w:t>
        </w:r>
      </w:hyperlink>
      <w:r>
        <w:t xml:space="preserve">.</w:t>
      </w:r>
    </w:p>
    <w:bookmarkEnd w:id="257"/>
    <w:bookmarkStart w:id="259"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58">
        <w:r>
          <w:rPr>
            <w:rStyle w:val="Hyperlink"/>
          </w:rPr>
          <w:t xml:space="preserve">https://doi.org/10.1111/j.1365-2427.2011.02613.x</w:t>
        </w:r>
      </w:hyperlink>
      <w:r>
        <w:t xml:space="preserve">.</w:t>
      </w:r>
    </w:p>
    <w:bookmarkEnd w:id="259"/>
    <w:bookmarkStart w:id="261"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60">
        <w:r>
          <w:rPr>
            <w:rStyle w:val="Hyperlink"/>
          </w:rPr>
          <w:t xml:space="preserve">https://doi.org/10.1186/1471-2105-9-307</w:t>
        </w:r>
      </w:hyperlink>
      <w:r>
        <w:t xml:space="preserve">.</w:t>
      </w:r>
    </w:p>
    <w:bookmarkEnd w:id="261"/>
    <w:bookmarkStart w:id="263"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62">
        <w:r>
          <w:rPr>
            <w:rStyle w:val="Hyperlink"/>
          </w:rPr>
          <w:t xml:space="preserve">https://doi.org/10.1037/a0016973</w:t>
        </w:r>
      </w:hyperlink>
      <w:r>
        <w:t xml:space="preserve">.</w:t>
      </w:r>
    </w:p>
    <w:bookmarkEnd w:id="263"/>
    <w:bookmarkStart w:id="265"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64">
        <w:r>
          <w:rPr>
            <w:rStyle w:val="Hyperlink"/>
          </w:rPr>
          <w:t xml:space="preserve">https://doi.org/10.1016/j.jenvman.2007.03.001</w:t>
        </w:r>
      </w:hyperlink>
      <w:r>
        <w:t xml:space="preserve">.</w:t>
      </w:r>
    </w:p>
    <w:bookmarkEnd w:id="265"/>
    <w:bookmarkStart w:id="266"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66"/>
    <w:bookmarkStart w:id="267"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67"/>
    <w:bookmarkStart w:id="268"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68"/>
    <w:bookmarkStart w:id="270"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69">
        <w:r>
          <w:rPr>
            <w:rStyle w:val="Hyperlink"/>
          </w:rPr>
          <w:t xml:space="preserve">https://doi.org/10.1007/s10533-008-9207-6</w:t>
        </w:r>
      </w:hyperlink>
      <w:r>
        <w:t xml:space="preserve">.</w:t>
      </w:r>
    </w:p>
    <w:bookmarkEnd w:id="270"/>
    <w:bookmarkStart w:id="272"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71">
        <w:r>
          <w:rPr>
            <w:rStyle w:val="Hyperlink"/>
          </w:rPr>
          <w:t xml:space="preserve">https://doi.org/10.1021/es030360x</w:t>
        </w:r>
      </w:hyperlink>
      <w:r>
        <w:t xml:space="preserve">.</w:t>
      </w:r>
    </w:p>
    <w:bookmarkEnd w:id="272"/>
    <w:bookmarkStart w:id="274"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73">
        <w:r>
          <w:rPr>
            <w:rStyle w:val="Hyperlink"/>
          </w:rPr>
          <w:t xml:space="preserve">https://doi.org/10.1007/s11356-015-4078-6</w:t>
        </w:r>
      </w:hyperlink>
      <w:r>
        <w:t xml:space="preserve">.</w:t>
      </w:r>
    </w:p>
    <w:bookmarkEnd w:id="274"/>
    <w:bookmarkStart w:id="276"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75">
        <w:r>
          <w:rPr>
            <w:rStyle w:val="Hyperlink"/>
          </w:rPr>
          <w:t xml:space="preserve">https://doi.org/10.1029/2018GL080005</w:t>
        </w:r>
      </w:hyperlink>
      <w:r>
        <w:t xml:space="preserve">.</w:t>
      </w:r>
    </w:p>
    <w:bookmarkEnd w:id="276"/>
    <w:bookmarkEnd w:id="277"/>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7">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18" Target="media/rId118.png" /><Relationship Type="http://schemas.openxmlformats.org/officeDocument/2006/relationships/image" Id="rId41" Target="media/rId41.png" /><Relationship Type="http://schemas.openxmlformats.org/officeDocument/2006/relationships/image" Id="rId30" Target="media/rId30.pn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149" Target="media/rId149.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7" Target="media/rId97.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05" Target="media/rId105.png" /><Relationship Type="http://schemas.openxmlformats.org/officeDocument/2006/relationships/image" Id="rId125" Target="media/rId125.png" /><Relationship Type="http://schemas.openxmlformats.org/officeDocument/2006/relationships/hyperlink" Id="rId237" Target="http://hdl.handle.net/1885/40940" TargetMode="External" /><Relationship Type="http://schemas.openxmlformats.org/officeDocument/2006/relationships/hyperlink" Id="rId189" Target="http://scholar.google.com/scholar?hl=en%7B\&amp;%7DbtnG=Search%7B\&amp;%7Dq=intitle:Running+Pure%7B\#%7D1" TargetMode="External" /><Relationship Type="http://schemas.openxmlformats.org/officeDocument/2006/relationships/hyperlink" Id="rId241" Target="http://www.jstor.com/stable/41295152" TargetMode="External" /><Relationship Type="http://schemas.openxmlformats.org/officeDocument/2006/relationships/hyperlink" Id="rId160" Target="http://www.standardmethods.org/" TargetMode="External" /><Relationship Type="http://schemas.openxmlformats.org/officeDocument/2006/relationships/hyperlink" Id="rId222" Target="https://archive.org/details/metaltransportre00lazeuoft/mode/2up" TargetMode="External" /><Relationship Type="http://schemas.openxmlformats.org/officeDocument/2006/relationships/hyperlink" Id="rId152" Target="https://doi.org/10.1002/j.1551-8833.1995.tb06299.x" TargetMode="External" /><Relationship Type="http://schemas.openxmlformats.org/officeDocument/2006/relationships/hyperlink" Id="rId212" Target="https://doi.org/10.1002/j.1551-8833.1995.tb06302.x" TargetMode="External" /><Relationship Type="http://schemas.openxmlformats.org/officeDocument/2006/relationships/hyperlink" Id="rId218" Target="https://doi.org/10.1002/j.1551-8833.2002.tb10250.x" TargetMode="External" /><Relationship Type="http://schemas.openxmlformats.org/officeDocument/2006/relationships/hyperlink" Id="rId226" Target="https://doi.org/10.1002/rra.1504" TargetMode="External" /><Relationship Type="http://schemas.openxmlformats.org/officeDocument/2006/relationships/hyperlink" Id="rId174" Target="https://doi.org/10.1007/978-94-007-1363-5" TargetMode="External" /><Relationship Type="http://schemas.openxmlformats.org/officeDocument/2006/relationships/hyperlink" Id="rId269" Target="https://doi.org/10.1007/s10533-008-9207-6" TargetMode="External" /><Relationship Type="http://schemas.openxmlformats.org/officeDocument/2006/relationships/hyperlink" Id="rId235" Target="https://doi.org/10.1007/s10533-015-0103-6" TargetMode="External" /><Relationship Type="http://schemas.openxmlformats.org/officeDocument/2006/relationships/hyperlink" Id="rId243" Target="https://doi.org/10.1007/s11270-013-1651-9" TargetMode="External" /><Relationship Type="http://schemas.openxmlformats.org/officeDocument/2006/relationships/hyperlink" Id="rId273" Target="https://doi.org/10.1007/s11356-015-4078-6" TargetMode="External" /><Relationship Type="http://schemas.openxmlformats.org/officeDocument/2006/relationships/hyperlink" Id="rId164" Target="https://doi.org/10.1007/s11749-016-0481-7" TargetMode="External" /><Relationship Type="http://schemas.openxmlformats.org/officeDocument/2006/relationships/hyperlink" Id="rId250" Target="https://doi.org/10.1007/sl0533-010-9416-7" TargetMode="External" /><Relationship Type="http://schemas.openxmlformats.org/officeDocument/2006/relationships/hyperlink" Id="rId183" Target="https://doi.org/10.1016/B978-0-12-382092-1.00019-1" TargetMode="External" /><Relationship Type="http://schemas.openxmlformats.org/officeDocument/2006/relationships/hyperlink" Id="rId245" Target="https://doi.org/10.1016/S0003-2670(96)00412-6" TargetMode="External" /><Relationship Type="http://schemas.openxmlformats.org/officeDocument/2006/relationships/hyperlink" Id="rId228" Target="https://doi.org/10.1016/j.chemosphere.2011.01.018" TargetMode="External" /><Relationship Type="http://schemas.openxmlformats.org/officeDocument/2006/relationships/hyperlink" Id="rId210" Target="https://doi.org/10.1016/j.chemosphere.2015.03.039" TargetMode="External" /><Relationship Type="http://schemas.openxmlformats.org/officeDocument/2006/relationships/hyperlink" Id="rId230" Target="https://doi.org/10.1016/j.cis.2010.06.007" TargetMode="External" /><Relationship Type="http://schemas.openxmlformats.org/officeDocument/2006/relationships/hyperlink" Id="rId264" Target="https://doi.org/10.1016/j.jenvman.2007.03.001" TargetMode="External" /><Relationship Type="http://schemas.openxmlformats.org/officeDocument/2006/relationships/hyperlink" Id="rId224" Target="https://doi.org/10.1016/j.jhazmat.2014.02.009" TargetMode="External" /><Relationship Type="http://schemas.openxmlformats.org/officeDocument/2006/relationships/hyperlink" Id="rId156" Target="https://doi.org/10.1016/j.jhydrol.2014.05.060" TargetMode="External" /><Relationship Type="http://schemas.openxmlformats.org/officeDocument/2006/relationships/hyperlink" Id="rId254" Target="https://doi.org/10.1016/j.mrrev.2007.09.001" TargetMode="External" /><Relationship Type="http://schemas.openxmlformats.org/officeDocument/2006/relationships/hyperlink" Id="rId256" Target="https://doi.org/10.1016/j.scitotenv.2016.09.113" TargetMode="External" /><Relationship Type="http://schemas.openxmlformats.org/officeDocument/2006/relationships/hyperlink" Id="rId191" Target="https://doi.org/10.1016/j.watres.2010.08.051" TargetMode="External" /><Relationship Type="http://schemas.openxmlformats.org/officeDocument/2006/relationships/hyperlink" Id="rId185" Target="https://doi.org/10.1016/j.watres.2016.08.031" TargetMode="External" /><Relationship Type="http://schemas.openxmlformats.org/officeDocument/2006/relationships/hyperlink" Id="rId271" Target="https://doi.org/10.1021/es030360x" TargetMode="External" /><Relationship Type="http://schemas.openxmlformats.org/officeDocument/2006/relationships/hyperlink" Id="rId154" Target="https://doi.org/10.1021/es103992s" TargetMode="External" /><Relationship Type="http://schemas.openxmlformats.org/officeDocument/2006/relationships/hyperlink" Id="rId220" Target="https://doi.org/10.1029/2005WR004362" TargetMode="External" /><Relationship Type="http://schemas.openxmlformats.org/officeDocument/2006/relationships/hyperlink" Id="rId158" Target="https://doi.org/10.1029/2007JG000674" TargetMode="External" /><Relationship Type="http://schemas.openxmlformats.org/officeDocument/2006/relationships/hyperlink" Id="rId275" Target="https://doi.org/10.1029/2018GL080005" TargetMode="External" /><Relationship Type="http://schemas.openxmlformats.org/officeDocument/2006/relationships/hyperlink" Id="rId262" Target="https://doi.org/10.1037/a0016973" TargetMode="External" /><Relationship Type="http://schemas.openxmlformats.org/officeDocument/2006/relationships/hyperlink" Id="rId150" Target="https://doi.org/10.1111/ele.12897" TargetMode="External" /><Relationship Type="http://schemas.openxmlformats.org/officeDocument/2006/relationships/hyperlink" Id="rId258" Target="https://doi.org/10.1111/j.1365-2427.2011.02613.x" TargetMode="External" /><Relationship Type="http://schemas.openxmlformats.org/officeDocument/2006/relationships/hyperlink" Id="rId181" Target="https://doi.org/10.1139/cjfas-2014-0400" TargetMode="External" /><Relationship Type="http://schemas.openxmlformats.org/officeDocument/2006/relationships/hyperlink" Id="rId260" Target="https://doi.org/10.1186/1471-2105-9-307" TargetMode="External" /><Relationship Type="http://schemas.openxmlformats.org/officeDocument/2006/relationships/hyperlink" Id="rId166" Target="https://doi.org/10.1201/9780367816377-11" TargetMode="External" /><Relationship Type="http://schemas.openxmlformats.org/officeDocument/2006/relationships/hyperlink" Id="rId198" Target="https://doi.org/10.13031/2013.15662" TargetMode="External" /><Relationship Type="http://schemas.openxmlformats.org/officeDocument/2006/relationships/hyperlink" Id="rId162" Target="https://doi.org/10.2105/SMWW.2882.113" TargetMode="External" /><Relationship Type="http://schemas.openxmlformats.org/officeDocument/2006/relationships/hyperlink" Id="rId172" Target="https://doi.org/10.2166/aqua.2008.064" TargetMode="External" /><Relationship Type="http://schemas.openxmlformats.org/officeDocument/2006/relationships/hyperlink" Id="rId196" Target="https://doi.org/10.3133/fs06700" TargetMode="External" /><Relationship Type="http://schemas.openxmlformats.org/officeDocument/2006/relationships/hyperlink" Id="rId194" Target="https://doi.org/10.4319/lo.2012.57.5.1453" TargetMode="External" /><Relationship Type="http://schemas.openxmlformats.org/officeDocument/2006/relationships/hyperlink" Id="rId239" Target="https://doi.org/10.5194/bg-10-2315-2013" TargetMode="External" /><Relationship Type="http://schemas.openxmlformats.org/officeDocument/2006/relationships/hyperlink" Id="rId178" Target="https://doi.org/IWSS-297445977-5079" TargetMode="External" /><Relationship Type="http://schemas.openxmlformats.org/officeDocument/2006/relationships/hyperlink" Id="rId214" Target="https://doi.org/doi:10.1046/j.1365-2427.1997.d01-539.x" TargetMode="External" /><Relationship Type="http://schemas.openxmlformats.org/officeDocument/2006/relationships/hyperlink" Id="rId187" Target="https://pubs.er.usgs.gov/publication/sir20075282" TargetMode="External" /><Relationship Type="http://schemas.openxmlformats.org/officeDocument/2006/relationships/hyperlink" Id="rId200" Target="https://www.canada.ca/content/dam/hc-sc/documents/programs/consultation-organic-matter-drinking-water/NOM20190129-eng.pdf" TargetMode="External" /><Relationship Type="http://schemas.openxmlformats.org/officeDocument/2006/relationships/hyperlink" Id="rId202" Target="https://www.canada.ca/content/dam/hc-sc/migration/hc-sc/ewh-semt/alt%7B\_%7Dformats/pdf/pubs/water-eau/sum%7B\_%7Dguide-res%7B\_%7Drecom/summary-table-August-15-2019-eng.pdf" TargetMode="External" /><Relationship Type="http://schemas.openxmlformats.org/officeDocument/2006/relationships/hyperlink" Id="rId204" Target="https://www.canada.ca/en/health-canada/services/healthy-living/your-health/environment/drinking-water-chlorination.html" TargetMode="External" /><Relationship Type="http://schemas.openxmlformats.org/officeDocument/2006/relationships/hyperlink" Id="rId176" Target="https://www.crd.bc.ca/project/past-capital-projects-and-initiatives/water-supply-plan" TargetMode="External" /><Relationship Type="http://schemas.openxmlformats.org/officeDocument/2006/relationships/hyperlink" Id="rId24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6" Target="https://www.healthlinkbc.ca/healthlinkbc-files/drinking-water-chlorination" TargetMode="External" /><Relationship Type="http://schemas.openxmlformats.org/officeDocument/2006/relationships/hyperlink" Id="rId232" Target="https://www.jstor.org/stable/1937326" TargetMode="External" /><Relationship Type="http://schemas.openxmlformats.org/officeDocument/2006/relationships/hyperlink" Id="rId252" Target="https://www.jstor.org/stable/24702986" TargetMode="External" /><Relationship Type="http://schemas.openxmlformats.org/officeDocument/2006/relationships/hyperlink" Id="rId208" Target="https://www.jstor.org/stable/40058211" TargetMode="External" /><Relationship Type="http://schemas.openxmlformats.org/officeDocument/2006/relationships/hyperlink" Id="rId216" Target="https://www.jstor.org/stable/41311011" TargetMode="External" /><Relationship Type="http://schemas.openxmlformats.org/officeDocument/2006/relationships/hyperlink" Id="rId16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37" Target="http://hdl.handle.net/1885/40940" TargetMode="External" /><Relationship Type="http://schemas.openxmlformats.org/officeDocument/2006/relationships/hyperlink" Id="rId189" Target="http://scholar.google.com/scholar?hl=en%7B\&amp;%7DbtnG=Search%7B\&amp;%7Dq=intitle:Running+Pure%7B\#%7D1" TargetMode="External" /><Relationship Type="http://schemas.openxmlformats.org/officeDocument/2006/relationships/hyperlink" Id="rId241" Target="http://www.jstor.com/stable/41295152" TargetMode="External" /><Relationship Type="http://schemas.openxmlformats.org/officeDocument/2006/relationships/hyperlink" Id="rId160" Target="http://www.standardmethods.org/" TargetMode="External" /><Relationship Type="http://schemas.openxmlformats.org/officeDocument/2006/relationships/hyperlink" Id="rId222" Target="https://archive.org/details/metaltransportre00lazeuoft/mode/2up" TargetMode="External" /><Relationship Type="http://schemas.openxmlformats.org/officeDocument/2006/relationships/hyperlink" Id="rId152" Target="https://doi.org/10.1002/j.1551-8833.1995.tb06299.x" TargetMode="External" /><Relationship Type="http://schemas.openxmlformats.org/officeDocument/2006/relationships/hyperlink" Id="rId212" Target="https://doi.org/10.1002/j.1551-8833.1995.tb06302.x" TargetMode="External" /><Relationship Type="http://schemas.openxmlformats.org/officeDocument/2006/relationships/hyperlink" Id="rId218" Target="https://doi.org/10.1002/j.1551-8833.2002.tb10250.x" TargetMode="External" /><Relationship Type="http://schemas.openxmlformats.org/officeDocument/2006/relationships/hyperlink" Id="rId226" Target="https://doi.org/10.1002/rra.1504" TargetMode="External" /><Relationship Type="http://schemas.openxmlformats.org/officeDocument/2006/relationships/hyperlink" Id="rId174" Target="https://doi.org/10.1007/978-94-007-1363-5" TargetMode="External" /><Relationship Type="http://schemas.openxmlformats.org/officeDocument/2006/relationships/hyperlink" Id="rId269" Target="https://doi.org/10.1007/s10533-008-9207-6" TargetMode="External" /><Relationship Type="http://schemas.openxmlformats.org/officeDocument/2006/relationships/hyperlink" Id="rId235" Target="https://doi.org/10.1007/s10533-015-0103-6" TargetMode="External" /><Relationship Type="http://schemas.openxmlformats.org/officeDocument/2006/relationships/hyperlink" Id="rId243" Target="https://doi.org/10.1007/s11270-013-1651-9" TargetMode="External" /><Relationship Type="http://schemas.openxmlformats.org/officeDocument/2006/relationships/hyperlink" Id="rId273" Target="https://doi.org/10.1007/s11356-015-4078-6" TargetMode="External" /><Relationship Type="http://schemas.openxmlformats.org/officeDocument/2006/relationships/hyperlink" Id="rId164" Target="https://doi.org/10.1007/s11749-016-0481-7" TargetMode="External" /><Relationship Type="http://schemas.openxmlformats.org/officeDocument/2006/relationships/hyperlink" Id="rId250" Target="https://doi.org/10.1007/sl0533-010-9416-7" TargetMode="External" /><Relationship Type="http://schemas.openxmlformats.org/officeDocument/2006/relationships/hyperlink" Id="rId183" Target="https://doi.org/10.1016/B978-0-12-382092-1.00019-1" TargetMode="External" /><Relationship Type="http://schemas.openxmlformats.org/officeDocument/2006/relationships/hyperlink" Id="rId245" Target="https://doi.org/10.1016/S0003-2670(96)00412-6" TargetMode="External" /><Relationship Type="http://schemas.openxmlformats.org/officeDocument/2006/relationships/hyperlink" Id="rId228" Target="https://doi.org/10.1016/j.chemosphere.2011.01.018" TargetMode="External" /><Relationship Type="http://schemas.openxmlformats.org/officeDocument/2006/relationships/hyperlink" Id="rId210" Target="https://doi.org/10.1016/j.chemosphere.2015.03.039" TargetMode="External" /><Relationship Type="http://schemas.openxmlformats.org/officeDocument/2006/relationships/hyperlink" Id="rId230" Target="https://doi.org/10.1016/j.cis.2010.06.007" TargetMode="External" /><Relationship Type="http://schemas.openxmlformats.org/officeDocument/2006/relationships/hyperlink" Id="rId264" Target="https://doi.org/10.1016/j.jenvman.2007.03.001" TargetMode="External" /><Relationship Type="http://schemas.openxmlformats.org/officeDocument/2006/relationships/hyperlink" Id="rId224" Target="https://doi.org/10.1016/j.jhazmat.2014.02.009" TargetMode="External" /><Relationship Type="http://schemas.openxmlformats.org/officeDocument/2006/relationships/hyperlink" Id="rId156" Target="https://doi.org/10.1016/j.jhydrol.2014.05.060" TargetMode="External" /><Relationship Type="http://schemas.openxmlformats.org/officeDocument/2006/relationships/hyperlink" Id="rId254" Target="https://doi.org/10.1016/j.mrrev.2007.09.001" TargetMode="External" /><Relationship Type="http://schemas.openxmlformats.org/officeDocument/2006/relationships/hyperlink" Id="rId256" Target="https://doi.org/10.1016/j.scitotenv.2016.09.113" TargetMode="External" /><Relationship Type="http://schemas.openxmlformats.org/officeDocument/2006/relationships/hyperlink" Id="rId191" Target="https://doi.org/10.1016/j.watres.2010.08.051" TargetMode="External" /><Relationship Type="http://schemas.openxmlformats.org/officeDocument/2006/relationships/hyperlink" Id="rId185" Target="https://doi.org/10.1016/j.watres.2016.08.031" TargetMode="External" /><Relationship Type="http://schemas.openxmlformats.org/officeDocument/2006/relationships/hyperlink" Id="rId271" Target="https://doi.org/10.1021/es030360x" TargetMode="External" /><Relationship Type="http://schemas.openxmlformats.org/officeDocument/2006/relationships/hyperlink" Id="rId154" Target="https://doi.org/10.1021/es103992s" TargetMode="External" /><Relationship Type="http://schemas.openxmlformats.org/officeDocument/2006/relationships/hyperlink" Id="rId220" Target="https://doi.org/10.1029/2005WR004362" TargetMode="External" /><Relationship Type="http://schemas.openxmlformats.org/officeDocument/2006/relationships/hyperlink" Id="rId158" Target="https://doi.org/10.1029/2007JG000674" TargetMode="External" /><Relationship Type="http://schemas.openxmlformats.org/officeDocument/2006/relationships/hyperlink" Id="rId275" Target="https://doi.org/10.1029/2018GL080005" TargetMode="External" /><Relationship Type="http://schemas.openxmlformats.org/officeDocument/2006/relationships/hyperlink" Id="rId262" Target="https://doi.org/10.1037/a0016973" TargetMode="External" /><Relationship Type="http://schemas.openxmlformats.org/officeDocument/2006/relationships/hyperlink" Id="rId150" Target="https://doi.org/10.1111/ele.12897" TargetMode="External" /><Relationship Type="http://schemas.openxmlformats.org/officeDocument/2006/relationships/hyperlink" Id="rId258" Target="https://doi.org/10.1111/j.1365-2427.2011.02613.x" TargetMode="External" /><Relationship Type="http://schemas.openxmlformats.org/officeDocument/2006/relationships/hyperlink" Id="rId181" Target="https://doi.org/10.1139/cjfas-2014-0400" TargetMode="External" /><Relationship Type="http://schemas.openxmlformats.org/officeDocument/2006/relationships/hyperlink" Id="rId260" Target="https://doi.org/10.1186/1471-2105-9-307" TargetMode="External" /><Relationship Type="http://schemas.openxmlformats.org/officeDocument/2006/relationships/hyperlink" Id="rId166" Target="https://doi.org/10.1201/9780367816377-11" TargetMode="External" /><Relationship Type="http://schemas.openxmlformats.org/officeDocument/2006/relationships/hyperlink" Id="rId198" Target="https://doi.org/10.13031/2013.15662" TargetMode="External" /><Relationship Type="http://schemas.openxmlformats.org/officeDocument/2006/relationships/hyperlink" Id="rId162" Target="https://doi.org/10.2105/SMWW.2882.113" TargetMode="External" /><Relationship Type="http://schemas.openxmlformats.org/officeDocument/2006/relationships/hyperlink" Id="rId172" Target="https://doi.org/10.2166/aqua.2008.064" TargetMode="External" /><Relationship Type="http://schemas.openxmlformats.org/officeDocument/2006/relationships/hyperlink" Id="rId196" Target="https://doi.org/10.3133/fs06700" TargetMode="External" /><Relationship Type="http://schemas.openxmlformats.org/officeDocument/2006/relationships/hyperlink" Id="rId194" Target="https://doi.org/10.4319/lo.2012.57.5.1453" TargetMode="External" /><Relationship Type="http://schemas.openxmlformats.org/officeDocument/2006/relationships/hyperlink" Id="rId239" Target="https://doi.org/10.5194/bg-10-2315-2013" TargetMode="External" /><Relationship Type="http://schemas.openxmlformats.org/officeDocument/2006/relationships/hyperlink" Id="rId178" Target="https://doi.org/IWSS-297445977-5079" TargetMode="External" /><Relationship Type="http://schemas.openxmlformats.org/officeDocument/2006/relationships/hyperlink" Id="rId214" Target="https://doi.org/doi:10.1046/j.1365-2427.1997.d01-539.x" TargetMode="External" /><Relationship Type="http://schemas.openxmlformats.org/officeDocument/2006/relationships/hyperlink" Id="rId187" Target="https://pubs.er.usgs.gov/publication/sir20075282" TargetMode="External" /><Relationship Type="http://schemas.openxmlformats.org/officeDocument/2006/relationships/hyperlink" Id="rId200" Target="https://www.canada.ca/content/dam/hc-sc/documents/programs/consultation-organic-matter-drinking-water/NOM20190129-eng.pdf" TargetMode="External" /><Relationship Type="http://schemas.openxmlformats.org/officeDocument/2006/relationships/hyperlink" Id="rId202" Target="https://www.canada.ca/content/dam/hc-sc/migration/hc-sc/ewh-semt/alt%7B\_%7Dformats/pdf/pubs/water-eau/sum%7B\_%7Dguide-res%7B\_%7Drecom/summary-table-August-15-2019-eng.pdf" TargetMode="External" /><Relationship Type="http://schemas.openxmlformats.org/officeDocument/2006/relationships/hyperlink" Id="rId204" Target="https://www.canada.ca/en/health-canada/services/healthy-living/your-health/environment/drinking-water-chlorination.html" TargetMode="External" /><Relationship Type="http://schemas.openxmlformats.org/officeDocument/2006/relationships/hyperlink" Id="rId176" Target="https://www.crd.bc.ca/project/past-capital-projects-and-initiatives/water-supply-plan" TargetMode="External" /><Relationship Type="http://schemas.openxmlformats.org/officeDocument/2006/relationships/hyperlink" Id="rId24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6" Target="https://www.healthlinkbc.ca/healthlinkbc-files/drinking-water-chlorination" TargetMode="External" /><Relationship Type="http://schemas.openxmlformats.org/officeDocument/2006/relationships/hyperlink" Id="rId232" Target="https://www.jstor.org/stable/1937326" TargetMode="External" /><Relationship Type="http://schemas.openxmlformats.org/officeDocument/2006/relationships/hyperlink" Id="rId252" Target="https://www.jstor.org/stable/24702986" TargetMode="External" /><Relationship Type="http://schemas.openxmlformats.org/officeDocument/2006/relationships/hyperlink" Id="rId208" Target="https://www.jstor.org/stable/40058211" TargetMode="External" /><Relationship Type="http://schemas.openxmlformats.org/officeDocument/2006/relationships/hyperlink" Id="rId216" Target="https://www.jstor.org/stable/41311011" TargetMode="External" /><Relationship Type="http://schemas.openxmlformats.org/officeDocument/2006/relationships/hyperlink" Id="rId16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32</Pages>
  <Words>3055</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20429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dcterms:created xsi:type="dcterms:W3CDTF">2020-07-28T03:49:06Z</dcterms:created>
  <dcterms:modified xsi:type="dcterms:W3CDTF">2020-07-28T03:49:06Z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